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AltschRefG (Brandenburg)</w:t>
      </w:r>
    </w:p>
    <w:p>
      <w:r>
        <w:rPr>
          <w:color w:val="555555"/>
          <w:sz w:val="18"/>
        </w:rPr>
        <w:t xml:space="preserve">Altschuldenrefinanzierungsgesetz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Der Anteil der Gemeinden und Landkreise gemäß § 2 kann ab dem Jahr 1999 ganz oder teilweise durch Absenkung der den Gemeinden und Landkreisen nach dem Gemeindefinanzierungsgesetz gewährten</w:t>
      </w:r>
    </w:p>
    <w:p>
      <w:r>
        <w:t xml:space="preserve">Investitionspauschale aus Mitteln des Investitionsförderungsgesetzes Aufbau Ost vom 23. Juni 1993 (BGBl. I S. 982), geändert durch Artikel 3 des Gesetzes vom 6. März 1997 (BGBl. I S. 434, 435) erbracht werden. Eine Festlegung darüber ist in Abstimmung mit den kommunalen Spitzenverbänden spätestens bis zum Beschluß über den Entwurf des Haushaltsplanes des Landes nach § 29 der Landeshaushaltsordnung für das Jahr zu treffen, in dem die Mittel abgesenkt werden sollen.</w:t>
      </w:r>
    </w:p>
    <w:p>
      <w:r>
        <w:rPr>
          <w:color w:val="555555"/>
          <w:sz w:val="17"/>
        </w:rPr>
        <w:t xml:space="preserve">Zitiervorschlag: § 3 AltschRefG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https://recht.nulegal.eu/gesetze/AltschRefG/3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