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AltschRefG (Brandenburg)</w:t>
      </w:r>
    </w:p>
    <w:p>
      <w:r>
        <w:rPr>
          <w:color w:val="555555"/>
          <w:sz w:val="18"/>
        </w:rPr>
        <w:t xml:space="preserve">Altschuldenrefinanzierungsgesetz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In den Jahren 1998 bis 2004 beträgt der Anteil der Gemeinden und Landkreise an dem Refinanzierungsbeitrag des Landes, der nach Anrechnung nach § 3 Abs. 2 des Altschuldenregelungsgesetzes verbleibt, 14 300 000 Deutsche</w:t>
      </w:r>
    </w:p>
    <w:p>
      <w:r>
        <w:t xml:space="preserve">Mark jährlich.</w:t>
      </w:r>
    </w:p>
    <w:p>
      <w:r>
        <w:rPr>
          <w:color w:val="555555"/>
          <w:sz w:val="17"/>
        </w:rPr>
        <w:t xml:space="preserve">Zitiervorschlag: § 2 AltschRefG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https://recht.nulegal.eu/gesetze/AltschRefG/2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