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AltschRefG (Brandenburg)</w:t>
      </w:r>
    </w:p>
    <w:p>
      <w:r>
        <w:rPr>
          <w:color w:val="555555"/>
          <w:sz w:val="18"/>
        </w:rPr>
        <w:t xml:space="preserve">Altschuldenrefinanzierungsgesetz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Gemeinden und Landkreise des Landes beteiligen sich an dem vom Land nach § 3 Abs. 1 des Altschuldenregelungsgesetzes vom 6. März 1997 (BGBl.</w:t>
      </w:r>
    </w:p>
    <w:p>
      <w:r>
        <w:t xml:space="preserve">I S. 434) zu erbringenden Refinanzierungsbeitrag.</w:t>
      </w:r>
    </w:p>
    <w:p>
      <w:r>
        <w:rPr>
          <w:color w:val="555555"/>
          <w:sz w:val="17"/>
        </w:rPr>
        <w:t xml:space="preserve">Zitiervorschlag: § 1 AltschRefG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https://recht.nulegal.eu/gesetze/AltschRefG/1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