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IV AltholzV — (zu § 6) Vorgaben zur Analytik für Holzhackschnitzel und Holzspäne zur Herstellung von Holzwerkstoffen</w:t>
      </w:r>
    </w:p>
    <w:p>
      <w:r>
        <w:rPr>
          <w:color w:val="555555"/>
          <w:sz w:val="18"/>
        </w:rPr>
        <w:t xml:space="preserve">Altholzverordnung</w:t>
      </w:r>
    </w:p>
    <w:p>
      <w:r>
        <w:rPr>
          <w:color w:val="555555"/>
          <w:sz w:val="18"/>
        </w:rPr>
        <w:t xml:space="preserve">Stand: 01.07.2020 (konsolidierte Textfassung, kein amtliches Inkrafttretensdatum)</w:t>
      </w:r>
    </w:p>
    <w:p>
      <w:r>
        <w:t xml:space="preserve">(Fundstelle: BGBl. I 2002, 3309 - 3313; bzgl. der einzelnen Änderungen vgl. Fußnote)</w:t>
      </w:r>
    </w:p>
    <w:p>
      <w:pPr>
        <w:ind w:left="1140"/>
      </w:pPr>
      <w:r>
        <w:t xml:space="preserve">1 Untersuchung von Holzhackschnitzeln und Holzspänen</w:t>
      </w:r>
    </w:p>
    <w:p>
      <w:pPr>
        <w:ind w:left="1140"/>
      </w:pPr>
      <w:r>
        <w:t xml:space="preserve">1.1 ProbenahmeDie Probenahme nach § 6 ist von Personen durchzuführen, die über die für die Durchführung der Probenahme erforderliche Fachkunde verfügen. Die zu untersuchenden Proben sind aus der laufenden Produktion zu entnehmen. Aus dem Materialstrom ist wenigstens alle 10 t eine Einzelprobe von mindestens 2 l zu entnehmen, zum Beispiel mit einem Gefäß mit Stiel, das in den Abwurf des Förderbandes gehalten wird. Die Probenahme ist schriftlich oder elektronisch zu dokumentieren. Die Dokumentation enthält mindestens das Datum der Probenahme, die Angabe der beprobten Charge sowie den Namen des Probenehmers. Probentransport und Probenlagerung haben so zu erfolgen, dass eine Beeinflussung der chemischen, physikalischen und biologischen Beschaffenheit des Probenmaterials soweit wie möglich ausgeschlossen wird.</w:t>
      </w:r>
    </w:p>
    <w:p>
      <w:pPr>
        <w:ind w:left="1140"/>
      </w:pPr>
      <w:r>
        <w:t xml:space="preserve">1.2 Herstellung der LaborprobeJe zu untersuchender Charge ist eine Laborprobe für die analytischen Untersuchungen zu erstellen. Dazu werden die Einzelproben auf einer sauberen, glatten Unterlage zu einer Mischprobe vereinigt und durch wiederholtes Umsetzen homogenisiert. Aus der Mischprobe ist eine Laborprobe von 500 g mit geeigneten Probenteilern oder durch Aufkegeln und Vierteln nach DIN 51701, Teil 3 (Ausgabe August 1985) zu entnehmen. Die Laborprobe ist nach Trocknung zu teilen. Eine Hälfte der Laborprobe ist als Rückstellprobe zu verwenden. Diese ist mit Datum und Analysennummer zu kennzeichnen und mindestens sechs Monate aufzubewahren.</w:t>
      </w:r>
    </w:p>
    <w:p>
      <w:pPr>
        <w:ind w:left="1140"/>
      </w:pPr>
      <w:r>
        <w:t xml:space="preserve">1.3 ProbenvorbereitungDie für die Analyse aufzubereitende Laborprobe soll lufttrocken sein. Feuchtes Material ist vor der Aufbereitung an einem gut belüfteten Platz oder in einem Labortrockenschrank (Trocknungstemperatur maximal 40 Grad C) zu trocknen. Die Laborprobe wird in einer geeigneten Mühle (Kreuzschlag- oder Schneidmühle) gegebenenfalls unter Kühlung mit flüssigem Stickstoff auf eine Korngröße von &lt; 2 mm gemahlen.</w:t>
      </w:r>
    </w:p>
    <w:p>
      <w:pPr>
        <w:ind w:left="1140"/>
      </w:pPr>
      <w:r>
        <w:t xml:space="preserve">1.4 Durchführung der UntersuchungenFür jeden Untersuchungsparameter sind mindestens zwei parallele Bestimmungen durchzuführen.</w:t>
      </w:r>
    </w:p>
    <w:p>
      <w:pPr>
        <w:ind w:left="1140"/>
      </w:pPr>
      <w:r>
        <w:t xml:space="preserve">1.4.1 Bestimmung des FeuchtigkeitsgehaltesDie Bestimmung des Feuchtigkeitsgehaltes erfolgt nach DIN 52183 (Ausgabe November 1977). Die Ergebnisse sind in Gewichtsprozent anzugeben.</w:t>
      </w:r>
    </w:p>
    <w:p>
      <w:pPr>
        <w:ind w:left="1140"/>
      </w:pPr>
      <w:r>
        <w:t xml:space="preserve">1.4.2 Bestimmung des Chlor- und FluorgehaltesDie lufttrockenen, gemahlenen Altholzproben werden nach DIN 51727 (Ausgabe Juni 2001) oxidativ aufgeschlossen. Die Chlorid- und Fluoridgehalte in der Aufschlusslösung werden mit Ionenchromatographie gemäß DIN EN ISO 10304, Teil 1 (Ausgabe April 1995) bestimmt. Die Ergebnisse sind in Milligramm je Kilogramm Trockenmasse anzugeben.</w:t>
      </w:r>
    </w:p>
    <w:p>
      <w:pPr>
        <w:ind w:left="1140"/>
      </w:pPr>
      <w:r>
        <w:t xml:space="preserve">1.4.3 Bestimmung der Elemente Arsen, Blei, Cadmium, Chrom, Kupfer und QuecksilberDie lufttrockenen, gemahlenen Altholzproben werden nach DIN EN 13657 (Entwurf Oktober 1999) mit Königswasser aufgeschlossen. Die Messung der Elementkonzentrationen in der Aufschlusslösung erfolgt nach einer der folgenden Untersuchungsmethoden:</w:t>
      </w:r>
    </w:p>
    <w:p>
      <w:r>
        <w:rPr>
          <w:rFonts w:ascii="Courier New" w:hAnsi="Courier New"/>
          <w:sz w:val="17"/>
        </w:rPr>
        <w:t xml:space="preserve">Element    Untersuchungsmethode(n)</w:t>
      </w:r>
    </w:p>
    <w:p>
      <w:r>
        <w:rPr>
          <w:rFonts w:ascii="Courier New" w:hAnsi="Courier New"/>
          <w:sz w:val="17"/>
        </w:rPr>
        <w:t xml:space="preserve">Arsen    DIN EN ISO 11969 (Ausgabe November 1996)</w:t>
      </w:r>
    </w:p>
    <w:p>
      <w:r>
        <w:rPr>
          <w:rFonts w:ascii="Courier New" w:hAnsi="Courier New"/>
          <w:sz w:val="17"/>
        </w:rPr>
        <w:t xml:space="preserve">Blei    DIN 38406, Teil 6 (Ausgabe Juli 1998)</w:t>
      </w:r>
    </w:p>
    <w:p>
      <w:r>
        <w:rPr>
          <w:rFonts w:ascii="Courier New" w:hAnsi="Courier New"/>
          <w:sz w:val="17"/>
        </w:rPr>
        <w:t xml:space="preserve">DIN EN ISO 11885 (Ausgabe April 1998)</w:t>
      </w:r>
    </w:p>
    <w:p>
      <w:r>
        <w:rPr>
          <w:rFonts w:ascii="Courier New" w:hAnsi="Courier New"/>
          <w:sz w:val="17"/>
        </w:rPr>
        <w:t xml:space="preserve">DIN ISO 11047 (Ausgabe Mai 1998)</w:t>
      </w:r>
    </w:p>
    <w:p>
      <w:r>
        <w:rPr>
          <w:rFonts w:ascii="Courier New" w:hAnsi="Courier New"/>
          <w:sz w:val="17"/>
        </w:rPr>
        <w:t xml:space="preserve">Cadmium    DIN EN ISO 5961 (Ausgabe Mai 1995)</w:t>
      </w:r>
    </w:p>
    <w:p>
      <w:r>
        <w:rPr>
          <w:rFonts w:ascii="Courier New" w:hAnsi="Courier New"/>
          <w:sz w:val="17"/>
        </w:rPr>
        <w:t xml:space="preserve">DIN EN ISO 11885 (Ausgabe April 1998)</w:t>
      </w:r>
    </w:p>
    <w:p>
      <w:r>
        <w:rPr>
          <w:rFonts w:ascii="Courier New" w:hAnsi="Courier New"/>
          <w:sz w:val="17"/>
        </w:rPr>
        <w:t xml:space="preserve">DIN ISO 11047 (Ausgabe Juni 1995)</w:t>
      </w:r>
    </w:p>
    <w:p>
      <w:r>
        <w:rPr>
          <w:rFonts w:ascii="Courier New" w:hAnsi="Courier New"/>
          <w:sz w:val="17"/>
        </w:rPr>
        <w:t xml:space="preserve">Chrom    DIN EN 1233 (Ausgabe August 1996)</w:t>
      </w:r>
    </w:p>
    <w:p>
      <w:r>
        <w:rPr>
          <w:rFonts w:ascii="Courier New" w:hAnsi="Courier New"/>
          <w:sz w:val="17"/>
        </w:rPr>
        <w:t xml:space="preserve">DIN EN ISO 11885 (Ausgabe April 1998)</w:t>
      </w:r>
    </w:p>
    <w:p>
      <w:r>
        <w:rPr>
          <w:rFonts w:ascii="Courier New" w:hAnsi="Courier New"/>
          <w:sz w:val="17"/>
        </w:rPr>
        <w:t xml:space="preserve">DIN ISO 11047 (Ausgabe Juni 1995)</w:t>
      </w:r>
    </w:p>
    <w:p>
      <w:r>
        <w:rPr>
          <w:rFonts w:ascii="Courier New" w:hAnsi="Courier New"/>
          <w:sz w:val="17"/>
        </w:rPr>
        <w:t xml:space="preserve">Kupfer    DIN 38406, Teil 7 (Ausgabe September 1991)</w:t>
      </w:r>
    </w:p>
    <w:p>
      <w:r>
        <w:rPr>
          <w:rFonts w:ascii="Courier New" w:hAnsi="Courier New"/>
          <w:sz w:val="17"/>
        </w:rPr>
        <w:t xml:space="preserve">DIN EN ISO 11885 (Ausgabe April 1998)</w:t>
      </w:r>
    </w:p>
    <w:p>
      <w:r>
        <w:rPr>
          <w:rFonts w:ascii="Courier New" w:hAnsi="Courier New"/>
          <w:sz w:val="17"/>
        </w:rPr>
        <w:t xml:space="preserve">DIN ISO 11047 (Ausgabe Juni 1995)</w:t>
      </w:r>
    </w:p>
    <w:p>
      <w:r>
        <w:rPr>
          <w:rFonts w:ascii="Courier New" w:hAnsi="Courier New"/>
          <w:sz w:val="17"/>
        </w:rPr>
        <w:t xml:space="preserve">Quecksilber    DIN EN 1483 (Ausgabe August 1997)</w:t>
      </w:r>
    </w:p>
    <w:p>
      <w:r>
        <w:rPr>
          <w:rFonts w:ascii="Courier New" w:hAnsi="Courier New"/>
          <w:sz w:val="17"/>
        </w:rPr>
        <w:t xml:space="preserve">DIN EN ISO 12338 (Ausgabe Oktober 1998).</w:t>
      </w:r>
    </w:p>
    <w:p>
      <w:r>
        <w:rPr>
          <w:rFonts w:ascii="Courier New" w:hAnsi="Courier New"/>
          <w:sz w:val="17"/>
        </w:rPr>
        <w:t xml:space="preserve">Die Ergebnisse sind in Milligramm je Kilogramm Trockenmasse anzugeben.</w:t>
      </w:r>
    </w:p>
    <w:p>
      <w:pPr>
        <w:ind w:left="1140"/>
      </w:pPr>
      <w:r>
        <w:t xml:space="preserve">1.4.4 Bestimmung von Pentachlorphenol (PCP)</w:t>
      </w:r>
    </w:p>
    <w:p>
      <w:pPr>
        <w:ind w:left="1140"/>
      </w:pPr>
      <w:r>
        <w:t xml:space="preserve">1.4.4.1 VerfahrensprinzipPentachlorphenol und seine Salze werden mit Methanol im Ultraschallbad extrahiert und nach Acetylierung mittels Gaschromatographie mit Elektroneneinfangdetektion (GC-ECD) quantifiziert. Dieses Verfahren ist anwendbar für die Bestimmung von PCP in zerkleinertem Holz im Konzentrationsbereich von 0,1 mg/kg bis 100 mg/kg.</w:t>
      </w:r>
    </w:p>
    <w:p>
      <w:pPr>
        <w:ind w:left="1140"/>
      </w:pPr>
      <w:r>
        <w:t xml:space="preserve">1.4.4.2 Geräte</w:t>
      </w:r>
    </w:p>
    <w:p>
      <w:pPr>
        <w:ind w:left="1500"/>
      </w:pPr>
      <w:r>
        <w:t xml:space="preserve">- Ultraschallbad mit Thermostat</w:t>
      </w:r>
    </w:p>
    <w:p>
      <w:pPr>
        <w:ind w:left="1500"/>
      </w:pPr>
      <w:r>
        <w:t xml:space="preserve">- Gaschromatograph mit Elektroneneinfangdetektor und Autosampler</w:t>
      </w:r>
    </w:p>
    <w:p>
      <w:pPr>
        <w:ind w:left="1140"/>
      </w:pPr>
      <w:r>
        <w:t xml:space="preserve">1.4.4.3 Chemikalien und Standards</w:t>
      </w:r>
    </w:p>
    <w:p>
      <w:pPr>
        <w:ind w:left="1500"/>
      </w:pPr>
      <w:r>
        <w:t xml:space="preserve">- Methanol zur Rückstandsanalyse</w:t>
      </w:r>
    </w:p>
    <w:p>
      <w:pPr>
        <w:ind w:left="1500"/>
      </w:pPr>
      <w:r>
        <w:t xml:space="preserve">- Cyclohexan und n-Hexan zur Rückstandsanalyse</w:t>
      </w:r>
    </w:p>
    <w:p>
      <w:pPr>
        <w:ind w:left="1500"/>
      </w:pPr>
      <w:r>
        <w:t xml:space="preserve">- Na(tief)2SO(tief)4, wasserfrei, granuliert</w:t>
      </w:r>
    </w:p>
    <w:p>
      <w:pPr>
        <w:ind w:left="1500"/>
      </w:pPr>
      <w:r>
        <w:t xml:space="preserve">- PCP als Standard in methanolischer Lösung</w:t>
      </w:r>
    </w:p>
    <w:p>
      <w:pPr>
        <w:ind w:left="1500"/>
      </w:pPr>
      <w:r>
        <w:t xml:space="preserve">- 2,4,6-Tribromphenol (TBP) in methanolischer Lösung als interner Standard 1 (ISTD 1)</w:t>
      </w:r>
    </w:p>
    <w:p>
      <w:pPr>
        <w:ind w:left="1500"/>
      </w:pPr>
      <w:r>
        <w:t xml:space="preserve">- PCB 52 als Standard in Cyclohexan als interner Standard 2 (ISTD 2)</w:t>
      </w:r>
    </w:p>
    <w:p>
      <w:pPr>
        <w:ind w:left="1500"/>
      </w:pPr>
      <w:r>
        <w:t xml:space="preserve">- Essigsäureanhydrid zur Analyse</w:t>
      </w:r>
    </w:p>
    <w:p>
      <w:pPr>
        <w:ind w:left="1500"/>
      </w:pPr>
      <w:r>
        <w:t xml:space="preserve">- K(tief)2CO(tief)3-Lösung (0,1 mol/l)</w:t>
      </w:r>
    </w:p>
    <w:p>
      <w:pPr>
        <w:ind w:left="1500"/>
      </w:pPr>
      <w:r>
        <w:t xml:space="preserve">- Seesand, gereinigt</w:t>
      </w:r>
    </w:p>
    <w:p>
      <w:pPr>
        <w:ind w:left="1140"/>
      </w:pPr>
      <w:r>
        <w:t xml:space="preserve">1.4.4.4 Maßnahmen zur Probenvorbereitung</w:t>
      </w:r>
    </w:p>
    <w:p>
      <w:pPr>
        <w:ind w:left="1140"/>
      </w:pPr>
      <w:r>
        <w:t xml:space="preserve">1.4.4.4.1 Reinigung der GeräteDie Reinigung der Glasgeräte erfolgt durch Waschen mit reinigungsmittelhaltigem Wasser und destilliertem Wasser sowie anschließendes Spülen mit Aceton und n-Hexan.</w:t>
      </w:r>
    </w:p>
    <w:p>
      <w:pPr>
        <w:ind w:left="1140"/>
      </w:pPr>
      <w:r>
        <w:t xml:space="preserve">1.4.4.4.2 Herstellung der KalibrierlösungenDie Stammlösungen werden durch Einwaage fester Substanzen höchster Reinheit hergestellt und bei -20 Grad C im Dunkeln aufbewahrt.</w:t>
      </w:r>
    </w:p>
    <w:p>
      <w:r>
        <w:rPr>
          <w:rFonts w:ascii="Courier New" w:hAnsi="Courier New"/>
          <w:sz w:val="17"/>
        </w:rPr>
        <w:t xml:space="preserve">Konzentrationen der Stammlösungen:    PCP in Methanol    0,5 mg/ml</w:t>
      </w:r>
    </w:p>
    <w:p>
      <w:r>
        <w:rPr>
          <w:rFonts w:ascii="Courier New" w:hAnsi="Courier New"/>
          <w:sz w:val="17"/>
        </w:rPr>
        <w:t xml:space="preserve">TBP in Methanol    0,5 mg/ml</w:t>
      </w:r>
    </w:p>
    <w:p>
      <w:r>
        <w:rPr>
          <w:rFonts w:ascii="Courier New" w:hAnsi="Courier New"/>
          <w:sz w:val="17"/>
        </w:rPr>
        <w:t xml:space="preserve">PCB 52 in Cyclohexan    0,5 mg/ml.</w:t>
      </w:r>
    </w:p>
    <w:p>
      <w:r>
        <w:rPr>
          <w:rFonts w:ascii="Courier New" w:hAnsi="Courier New"/>
          <w:sz w:val="17"/>
        </w:rPr>
        <w:t xml:space="preserve">Aus den Stammlösungen werden durch Verdünnen (1:10)</w:t>
      </w:r>
    </w:p>
    <w:p>
      <w:r>
        <w:rPr>
          <w:rFonts w:ascii="Courier New" w:hAnsi="Courier New"/>
          <w:sz w:val="17"/>
        </w:rPr>
        <w:t xml:space="preserve">Standardlösungen mit der Konzentration von 0,05 mg/ml hergestellt.</w:t>
      </w:r>
    </w:p>
    <w:p>
      <w:pPr>
        <w:ind w:left="1140"/>
      </w:pPr>
      <w:r>
        <w:t xml:space="preserve">1.4.4.4.3 KalibrierungDie Kalibrierung erfolgt über das gesamte Verfahren. Dazu werden 20 myl, 50 myl, 100 myl, 200 myl und 500 myl der PCP-Standardlösung jeweils mit 250 myl der TBP-Standardlösung auf 5 g Seesand gegeben und wie nachfolgend für die Durchführung der Analyse beschrieben aufgearbeitet (das heißt, statt Holz wird Seesand verwendet).</w:t>
      </w:r>
    </w:p>
    <w:p>
      <w:r>
        <w:rPr>
          <w:rFonts w:ascii="Courier New" w:hAnsi="Courier New"/>
          <w:sz w:val="17"/>
        </w:rPr>
        <w:t xml:space="preserve">Kalibrierlösung    PCP (ng/ml)    TBP (ng/ml) ISTD 1    PCB 52 (ng/ml) ISTD 2</w:t>
      </w:r>
    </w:p>
    <w:p>
      <w:r>
        <w:rPr>
          <w:rFonts w:ascii="Courier New" w:hAnsi="Courier New"/>
          <w:sz w:val="17"/>
        </w:rPr>
        <w:t xml:space="preserve">1    1,0    10,0    20,0</w:t>
      </w:r>
    </w:p>
    <w:p>
      <w:r>
        <w:rPr>
          <w:rFonts w:ascii="Courier New" w:hAnsi="Courier New"/>
          <w:sz w:val="17"/>
        </w:rPr>
        <w:t xml:space="preserve">2    2,0    10,0    20,0</w:t>
      </w:r>
    </w:p>
    <w:p>
      <w:r>
        <w:rPr>
          <w:rFonts w:ascii="Courier New" w:hAnsi="Courier New"/>
          <w:sz w:val="17"/>
        </w:rPr>
        <w:t xml:space="preserve">3    5,0    10,0    20,0</w:t>
      </w:r>
    </w:p>
    <w:p>
      <w:r>
        <w:rPr>
          <w:rFonts w:ascii="Courier New" w:hAnsi="Courier New"/>
          <w:sz w:val="17"/>
        </w:rPr>
        <w:t xml:space="preserve">4    10,0    10,0    20,0</w:t>
      </w:r>
    </w:p>
    <w:p>
      <w:r>
        <w:rPr>
          <w:rFonts w:ascii="Courier New" w:hAnsi="Courier New"/>
          <w:sz w:val="17"/>
        </w:rPr>
        <w:t xml:space="preserve">5    20,0    10,0    20,0</w:t>
      </w:r>
    </w:p>
    <w:p>
      <w:pPr>
        <w:ind w:left="1140"/>
      </w:pPr>
      <w:r>
        <w:t xml:space="preserve">1.4.4.5 Probenvorbereitung</w:t>
      </w:r>
    </w:p>
    <w:p>
      <w:pPr>
        <w:ind w:left="1140"/>
      </w:pPr>
      <w:r>
        <w:t xml:space="preserve">1.4.4.5.1 ExtraktionEs werden je nach der zu erwartenden Konzentration 1 g, 3 g oder 4 g Holz jeweils in einen Erlenmeyerkolben eingewogen. Auf das Holz werden 250 myl TBP-Lösung (ISTD 1) gegeben. Diese Lösung lässt man 30 Minuten einwirken. Nun wird das Holz mit 50 ml Methanol versetzt und zwei Stunden bei 40 Grad C einer Ultraschallbehandlung unterworfen. Nach dem Absetzen der Feststoffe wird der Extrakt (cirka 25 ml) vorsichtig mit einer Pasteurpipette abgenommen, in ein verschließbares Glasgefäß überführt und für die Weiteraufarbeitung aufbewahrt.</w:t>
      </w:r>
    </w:p>
    <w:p>
      <w:pPr>
        <w:ind w:left="1140"/>
      </w:pPr>
      <w:r>
        <w:t xml:space="preserve">1.4.4.5.2 AcetylierungIn einem 150 ml Schütteltrichter werden 30 ml einer 0,1 molaren K(tief)2CO(tief)3-Lösung vorgelegt, mit einem Aliquot des Extraktes (zum Beispiel 1 ml) versetzt und fünf Minuten geschüttelt. Auf die Zugabe von 2 ml Essigsäureanhydrid erfolgt zweiminütiges Schütteln. Dann sind 20 ml Cyclohexan hinzuzufügen und zehn Minuten zu schütteln. Die wässrige Phase wird verworfen; die organische Phase wird über eine mit Na(tief)2SO(tief)4 gefüllte Glassäule in einen 25 ml Messkolben filtriert. Nach Zugabe von 10 myl der Lösung des ISTD 2 wird auf 25 ml genau aufgefüllt. Diese Lösung wird für die GC-ECD-Analyse verwendet. Die PCP-Konzentration im Extrakt muss innerhalb des von den Kalibrierlösungen abgedeckten Bereiches liegen.</w:t>
      </w:r>
    </w:p>
    <w:p>
      <w:pPr>
        <w:ind w:left="1140"/>
      </w:pPr>
      <w:r>
        <w:t xml:space="preserve">1.4.4.6 Analyse mittels GC-ECDGC-Bedingungen (Beispiel):Säule: HP-5 30 m; 0,25 mym; 0,32 mm ID</w:t>
      </w:r>
    </w:p>
    <w:p>
      <w:r>
        <w:rPr>
          <w:rFonts w:ascii="Courier New" w:hAnsi="Courier New"/>
          <w:sz w:val="17"/>
        </w:rPr>
        <w:t xml:space="preserve">                20 Grad C/min</w:t>
      </w:r>
    </w:p>
    <w:p>
      <w:r>
        <w:rPr>
          <w:rFonts w:ascii="Courier New" w:hAnsi="Courier New"/>
          <w:sz w:val="17"/>
        </w:rPr>
        <w:t xml:space="preserve">Ofentemperatur:    50 Grad C (1 min)    ................ 160 Grad C (0 min)</w:t>
      </w:r>
    </w:p>
    <w:p>
      <w:r>
        <w:rPr>
          <w:rFonts w:ascii="Courier New" w:hAnsi="Courier New"/>
          <w:sz w:val="17"/>
        </w:rPr>
        <w:t xml:space="preserve">        8 Grad C/min</w:t>
      </w:r>
    </w:p>
    <w:p>
      <w:r>
        <w:rPr>
          <w:rFonts w:ascii="Courier New" w:hAnsi="Courier New"/>
          <w:sz w:val="17"/>
        </w:rPr>
        <w:t xml:space="preserve">        ...............310 Grad C (5 min)</w:t>
      </w:r>
    </w:p>
    <w:p>
      <w:r>
        <w:rPr>
          <w:rFonts w:ascii="Courier New" w:hAnsi="Courier New"/>
          <w:sz w:val="17"/>
        </w:rPr>
        <w:t xml:space="preserve">Detektor-Temperatur:    350 Grad C</w:t>
      </w:r>
    </w:p>
    <w:p>
      <w:r>
        <w:rPr>
          <w:rFonts w:ascii="Courier New" w:hAnsi="Courier New"/>
          <w:sz w:val="17"/>
        </w:rPr>
        <w:t xml:space="preserve">Injektor-Temperatur:    250 Grad C</w:t>
      </w:r>
    </w:p>
    <w:p>
      <w:r>
        <w:rPr>
          <w:rFonts w:ascii="Courier New" w:hAnsi="Courier New"/>
          <w:sz w:val="17"/>
        </w:rPr>
        <w:t xml:space="preserve">Injektionsmodus:    split/splitless</w:t>
      </w:r>
    </w:p>
    <w:p>
      <w:r>
        <w:rPr>
          <w:rFonts w:ascii="Courier New" w:hAnsi="Courier New"/>
          <w:sz w:val="17"/>
        </w:rPr>
        <w:t xml:space="preserve">Trägergas:    H(tief)2-Säulenvordruck (35 kPa)</w:t>
      </w:r>
    </w:p>
    <w:p>
      <w:r>
        <w:rPr>
          <w:rFonts w:ascii="Courier New" w:hAnsi="Courier New"/>
          <w:sz w:val="17"/>
        </w:rPr>
        <w:t xml:space="preserve">Make up - Gas:    N(tief)2 (60 ml/min)</w:t>
      </w:r>
    </w:p>
    <w:p>
      <w:r>
        <w:rPr>
          <w:rFonts w:ascii="Courier New" w:hAnsi="Courier New"/>
          <w:sz w:val="17"/>
        </w:rPr>
        <w:t xml:space="preserve">Folgende Messungen sind durchzuführen:</w:t>
      </w:r>
    </w:p>
    <w:p>
      <w:r>
        <w:rPr>
          <w:rFonts w:ascii="Courier New" w:hAnsi="Courier New"/>
          <w:sz w:val="17"/>
        </w:rPr>
        <w:t xml:space="preserve">-    Blindwerte:    Geräteblindwert (reines Cyclohexan)</w:t>
      </w:r>
    </w:p>
    <w:p>
      <w:r>
        <w:rPr>
          <w:rFonts w:ascii="Courier New" w:hAnsi="Courier New"/>
          <w:sz w:val="17"/>
        </w:rPr>
        <w:t xml:space="preserve">        *    Chemikalienblindwert (Durchführung des gesamten Verfahrens ohne Holzprobe)</w:t>
      </w:r>
    </w:p>
    <w:p>
      <w:r>
        <w:rPr>
          <w:rFonts w:ascii="Courier New" w:hAnsi="Courier New"/>
          <w:sz w:val="17"/>
        </w:rPr>
        <w:t xml:space="preserve">        *    Analyse eines kontaminationsfreien Holzes</w:t>
      </w:r>
    </w:p>
    <w:p>
      <w:r>
        <w:rPr>
          <w:rFonts w:ascii="Courier New" w:hAnsi="Courier New"/>
          <w:sz w:val="17"/>
        </w:rPr>
        <w:t xml:space="preserve">-    Kalibrierlösungen</w:t>
      </w:r>
    </w:p>
    <w:p>
      <w:r>
        <w:rPr>
          <w:rFonts w:ascii="Courier New" w:hAnsi="Courier New"/>
          <w:sz w:val="17"/>
        </w:rPr>
        <w:t xml:space="preserve">-    Probenextrakte nach beschriebener Aufarbeitung.</w:t>
      </w:r>
    </w:p>
    <w:p>
      <w:pPr>
        <w:ind w:left="1140"/>
      </w:pPr>
      <w:r>
        <w:t xml:space="preserve">Für die Qualitätssicherung der Analysenergebnisse sollen die Wiederfindungsraten des acetylierten internen Standards 1 (Tribromphenol) ständig gegen die des internen Standards 2 (PCB 52) überprüft werden.</w:t>
      </w:r>
    </w:p>
    <w:p>
      <w:pPr>
        <w:ind w:left="1140"/>
      </w:pPr>
      <w:r>
        <w:t xml:space="preserve">1.4.4.7 Auswertung</w:t>
      </w:r>
    </w:p>
    <w:p>
      <w:pPr>
        <w:ind w:left="1140"/>
      </w:pPr>
      <w:r>
        <w:t xml:space="preserve">1.4.4.7.1 PrinzipZunächst erfolgt die Erstellung einer Kalibriergeraden mit den Standardlösungen (siehe Abschnitt 1.4.4.7.2), nachfolgend schließt sich die Bestimmung des PCP-Gehaltes in einem Probenextrakt mittels dieser Kalibriergeraden an (siehe Abschnitt 1.4.4.7.3).</w:t>
      </w:r>
    </w:p>
    <w:p>
      <w:pPr>
        <w:ind w:left="1140"/>
      </w:pPr>
      <w:r>
        <w:t xml:space="preserve">1.4.4.7.2 Kalibrierung über das gesamte VerfahrenZur Erstellung der Kalibriergeraden wird das Peakflächenverhältnis von acetyliertem PCP-Standard zu acetyliertem TBP gegen das entsprechende Konzentrationsverhältnis gemäß folgender Gleichung aufgetragen:</w:t>
      </w:r>
    </w:p>
    <w:p>
      <w:r>
        <w:t xml:space="preserve">Start: BJNR330210002BJNE001700000_01</w:t>
      </w:r>
    </w:p>
    <w:p>
      <w:r>
        <w:rPr>
          <w:rFonts w:ascii="Courier New" w:hAnsi="Courier New"/>
          <w:sz w:val="17"/>
        </w:rPr>
        <w:t xml:space="preserve">    a(tief)PCP        c(tief)PCP</w:t>
      </w:r>
    </w:p>
    <w:p>
      <w:r>
        <w:rPr>
          <w:rFonts w:ascii="Courier New" w:hAnsi="Courier New"/>
          <w:sz w:val="17"/>
        </w:rPr>
        <w:t xml:space="preserve">-----------    = s x    --------------- + b</w:t>
      </w:r>
    </w:p>
    <w:p>
      <w:r>
        <w:rPr>
          <w:rFonts w:ascii="Courier New" w:hAnsi="Courier New"/>
          <w:sz w:val="17"/>
        </w:rPr>
        <w:t xml:space="preserve">a(tief)TBP        c(tief)TBP</w:t>
      </w:r>
    </w:p>
    <w:p>
      <w:r>
        <w:rPr>
          <w:rFonts w:ascii="Courier New" w:hAnsi="Courier New"/>
          <w:sz w:val="17"/>
        </w:rPr>
        <w:t xml:space="preserve">wobei:</w:t>
      </w:r>
    </w:p>
    <w:p>
      <w:r>
        <w:rPr>
          <w:rFonts w:ascii="Courier New" w:hAnsi="Courier New"/>
          <w:sz w:val="17"/>
        </w:rPr>
        <w:t xml:space="preserve">a(tief)PCP    gemessene Anzeige des acetylierten PCP-Standards (zum Beispiel Peakfläche)</w:t>
      </w:r>
    </w:p>
    <w:p>
      <w:r>
        <w:rPr>
          <w:rFonts w:ascii="Courier New" w:hAnsi="Courier New"/>
          <w:sz w:val="17"/>
        </w:rPr>
        <w:t xml:space="preserve">a(tief)TBP    gemessene Anzeige des acetylierten TBP-Standards (zum Beispiel Peakfläche)</w:t>
      </w:r>
    </w:p>
    <w:p>
      <w:r>
        <w:rPr>
          <w:rFonts w:ascii="Courier New" w:hAnsi="Courier New"/>
          <w:sz w:val="17"/>
        </w:rPr>
        <w:t xml:space="preserve">s    die Steigung der Kalibriergeraden</w:t>
      </w:r>
    </w:p>
    <w:p>
      <w:r>
        <w:rPr>
          <w:rFonts w:ascii="Courier New" w:hAnsi="Courier New"/>
          <w:sz w:val="17"/>
        </w:rPr>
        <w:t xml:space="preserve">c(tief)PCP    die Massenkonzentration des acetylierten PCP in den Kalibrierlösungen in ng/ml</w:t>
      </w:r>
    </w:p>
    <w:p>
      <w:r>
        <w:rPr>
          <w:rFonts w:ascii="Courier New" w:hAnsi="Courier New"/>
          <w:sz w:val="17"/>
        </w:rPr>
        <w:t xml:space="preserve">c(tief)TBP    die Massenkonzentration des acetylierten TBP in den Kalibrierlösungen in ng/ml</w:t>
      </w:r>
    </w:p>
    <w:p>
      <w:r>
        <w:rPr>
          <w:rFonts w:ascii="Courier New" w:hAnsi="Courier New"/>
          <w:sz w:val="17"/>
        </w:rPr>
        <w:t xml:space="preserve">b    der Ordinatenabschnitt der Kalibriergeraden</w:t>
      </w:r>
    </w:p>
    <w:p>
      <w:r>
        <w:rPr>
          <w:rFonts w:ascii="Courier New" w:hAnsi="Courier New"/>
          <w:sz w:val="17"/>
        </w:rPr>
        <w:t xml:space="preserve">bedeuten.</w:t>
      </w:r>
    </w:p>
    <w:p>
      <w:r>
        <w:rPr>
          <w:rFonts w:ascii="Courier New" w:hAnsi="Courier New"/>
          <w:sz w:val="17"/>
        </w:rPr>
        <w:t xml:space="preserve">Berechnung des PCP-Gehaltes:</w:t>
      </w:r>
    </w:p>
    <w:p>
      <w:r>
        <w:rPr>
          <w:rFonts w:ascii="Courier New" w:hAnsi="Courier New"/>
          <w:sz w:val="17"/>
        </w:rPr>
        <w:t xml:space="preserve">Der PCP-Gehalt in der Holzprobe kann nach folgender Gleichung aus der Mehrpunktkalibriergeraden ermittelt werden:</w:t>
      </w:r>
    </w:p>
    <w:p>
      <w:r>
        <w:rPr>
          <w:rFonts w:ascii="Courier New" w:hAnsi="Courier New"/>
          <w:sz w:val="17"/>
        </w:rPr>
        <w:t xml:space="preserve">Gehalt (tief)PCP =    a(tief)PCP/aTBP-b    c(tief)TBP x f x v: 1000</w:t>
      </w:r>
    </w:p>
    <w:p>
      <w:r>
        <w:rPr>
          <w:rFonts w:ascii="Courier New" w:hAnsi="Courier New"/>
          <w:sz w:val="17"/>
        </w:rPr>
        <w:t xml:space="preserve">------------------- x</w:t>
      </w:r>
    </w:p>
    <w:p>
      <w:r>
        <w:rPr>
          <w:rFonts w:ascii="Courier New" w:hAnsi="Courier New"/>
          <w:sz w:val="17"/>
        </w:rPr>
        <w:t xml:space="preserve">s x m</w:t>
      </w:r>
    </w:p>
    <w:p>
      <w:r>
        <w:rPr>
          <w:rFonts w:ascii="Courier New" w:hAnsi="Courier New"/>
          <w:sz w:val="17"/>
        </w:rPr>
        <w:t xml:space="preserve">wobei:</w:t>
      </w:r>
    </w:p>
    <w:p>
      <w:r>
        <w:rPr>
          <w:rFonts w:ascii="Courier New" w:hAnsi="Courier New"/>
          <w:sz w:val="17"/>
        </w:rPr>
        <w:t xml:space="preserve">Gehalt (tief)PCP    Gehalt an PCP in der Probe in mg/kg</w:t>
      </w:r>
    </w:p>
    <w:p>
      <w:r>
        <w:rPr>
          <w:rFonts w:ascii="Courier New" w:hAnsi="Courier New"/>
          <w:sz w:val="17"/>
        </w:rPr>
        <w:t xml:space="preserve">c(tief)TBP    die Massenkonzentration des TBP in dem Probenextrakt in ng/ml</w:t>
      </w:r>
    </w:p>
    <w:p>
      <w:r>
        <w:rPr>
          <w:rFonts w:ascii="Courier New" w:hAnsi="Courier New"/>
          <w:sz w:val="17"/>
        </w:rPr>
        <w:t xml:space="preserve">m    die Masse des eingesetzten Holzes für die Extraktion in g</w:t>
      </w:r>
    </w:p>
    <w:p>
      <w:r>
        <w:rPr>
          <w:rFonts w:ascii="Courier New" w:hAnsi="Courier New"/>
          <w:sz w:val="17"/>
        </w:rPr>
        <w:t xml:space="preserve">a(tief)TBP    gemessene Anzeige des TBP-Standards im Probenextrakt (zum Beispiel Peakfläche)</w:t>
      </w:r>
    </w:p>
    <w:p>
      <w:r>
        <w:rPr>
          <w:rFonts w:ascii="Courier New" w:hAnsi="Courier New"/>
          <w:sz w:val="17"/>
        </w:rPr>
        <w:t xml:space="preserve">a(tief)PCP    gemessene Anzeige des analysierten PCP im Probenextrakt (zum Beispiel Peakfläche)</w:t>
      </w:r>
    </w:p>
    <w:p>
      <w:r>
        <w:rPr>
          <w:rFonts w:ascii="Courier New" w:hAnsi="Courier New"/>
          <w:sz w:val="17"/>
        </w:rPr>
        <w:t xml:space="preserve">f    das Verhältnis des gesamten Volumens des Extraktes zu dem Volumen des Aliquots zur Derivatisierung (zum Beispiel 50 ml/2 ml = 25)</w:t>
      </w:r>
    </w:p>
    <w:p>
      <w:r>
        <w:rPr>
          <w:rFonts w:ascii="Courier New" w:hAnsi="Courier New"/>
          <w:sz w:val="17"/>
        </w:rPr>
        <w:t xml:space="preserve">v    das Volumen der Endlösung zur Analyse in ml (zum Beispiel 25 ml)</w:t>
      </w:r>
    </w:p>
    <w:p>
      <w:r>
        <w:rPr>
          <w:rFonts w:ascii="Courier New" w:hAnsi="Courier New"/>
          <w:sz w:val="17"/>
        </w:rPr>
        <w:t xml:space="preserve">s    die Steigung der Kalibriergeraden</w:t>
      </w:r>
    </w:p>
    <w:p>
      <w:r>
        <w:rPr>
          <w:rFonts w:ascii="Courier New" w:hAnsi="Courier New"/>
          <w:sz w:val="17"/>
        </w:rPr>
        <w:t xml:space="preserve">b    der Ordinatenabschnitt der Kalibriergeraden</w:t>
      </w:r>
    </w:p>
    <w:p>
      <w:r>
        <w:rPr>
          <w:rFonts w:ascii="Courier New" w:hAnsi="Courier New"/>
          <w:sz w:val="17"/>
        </w:rPr>
        <w:t xml:space="preserve">bedeuten.</w:t>
      </w:r>
    </w:p>
    <w:p>
      <w:r>
        <w:t xml:space="preserve">Ende: BJNR330210002BJNE001700000_01</w:t>
      </w:r>
    </w:p>
    <w:p>
      <w:pPr>
        <w:ind w:left="1140"/>
      </w:pPr>
      <w:r>
        <w:t xml:space="preserve">1.4.4.7.3 Angabe der ErgebnisseDie Ergebnisse sind in Milligramm je Kilogramm Trockenmasse anzugeben.</w:t>
      </w:r>
    </w:p>
    <w:p>
      <w:pPr>
        <w:ind w:left="1140"/>
      </w:pPr>
      <w:r>
        <w:t xml:space="preserve">1.4.5 Bestimmung von polychlorierten Biphenylen (PCB)Die lufttrockene, gemahlene Altholzprobe wird nach Zugabe eines internen Standards mit n-Hexan im Soxhlet oder durch ein vergleichbares Extraktionsverfahren extrahiert. Im Extrakt enthaltene PCB-Kongenere werden durch geeignete Reinigungsschritte, insbesondere eine Kombination einer Benzolsulfonsäure-Trennsäule mit einer Silicagel-Säule, von störenden Begleitstoffen weitgehend befreit. Die Bestimmung der PCB-Kongenere (Ballschmiter Nr. 28, 52, 101, 138, 153, 180) erfolgt durch Kapillargaschromatographie mit Elektroneneinfangdetektor (ECD) in Anwendung von DIN 38414, Teil 20 (Ausgabe Januar 1996). Der Gesamtgehalt an PCB ergibt sich aus der Summe des für jedes der PCB-Kongenere ermittelten Massenanteils, bezogen auf die Trockenmasse der Altholzprobe, multipliziert mit dem Faktor fünf und auf 0,1 mg/kg gerundet.Das Bundesministerium für Umwelt, Naturschutz und nukleare Sicherheit kann für die Bestimmung von polychlorierten Biphenylen andere wissenschaftlich anerkannte Prüfverfahren im Bundesanzeiger bekannt geben, wenn entsprechende wissenschaftliche Erkenntnisse vorliegen.</w:t>
      </w:r>
    </w:p>
    <w:p>
      <w:pPr>
        <w:ind w:left="1140"/>
      </w:pPr>
      <w:r>
        <w:t xml:space="preserve">1.5 Andere MethodenDie zuständige Behörde soll andere Methoden zulassen, wenn deren Gleichwertigkeit nachgewiesen wird.</w:t>
      </w:r>
    </w:p>
    <w:p>
      <w:pPr>
        <w:ind w:left="1140"/>
      </w:pPr>
      <w:r>
        <w:t xml:space="preserve">2 Angabe und Berechnung der ErgebnisseDie Ergebnisse der jeweiligen zwei parallelen Bestimmungen und ihr arithmetischer Mittelwert sind anzugeben. Zur Prüfung der Einhaltung der in Anhang II genannten Grenzwerte ist auf den arithmetischen Mittelwert abzustellen. Die Mittelwertbildung ist nur zulässig, wenn die Differenz der beiden Einzelwerte die methodenübliche Wiederholbarkeit nach DIN ISO 5725, Teil 1 (Ausgabe November 1997) nicht überschreitet. Im Falle einer derartigen Überschreitung sind eine Überprüfung auf mögliche Ursachen der überhöhten Differenz und eine dritte Messung erforderlich. Sofern die Überprüfung der überhöhten Differenz keine eindeutige Ursache erbracht hat, ist für die Prüfung der Einhaltung der in Anhang II genannten Grenzwerte der mittlere der drei der Größe nach geordneten Einzelwerte (Median) heranzuziehen.</w:t>
      </w:r>
    </w:p>
    <w:p>
      <w:pPr>
        <w:ind w:left="1140"/>
      </w:pPr>
      <w:r>
        <w:t xml:space="preserve">3 Qualitätssicherung und -kontrolleDie Untersuchungsstellen sind verpflichtet, die Analysenergebnisse durch geeignete Maßnahmen zur internen und externen Qualitätssicherung nach DIN EN ISO/IEC 17025 (Ausgabe April 2000) abzusichern. Dazu gehören unter anderem die Führung von Qualitätsregelkarten, der Einsatz von Referenzmaterialien und die erfolgreiche Teilnahme an Ringversuchen.</w:t>
      </w:r>
    </w:p>
    <w:p>
      <w:pPr>
        <w:ind w:left="1140"/>
      </w:pPr>
      <w:r>
        <w:t xml:space="preserve">4 Bekanntmachungen sachverständiger StellenISO-Normen, EN-Normen und DIN-Normen, auf die in diesem Anhang verwiesen wird, sind im Beuth-Verlag GmbH, Berlin und Köln, erschienen und beim Deutschen Patentamt in München archivmäßig gesichert niedergelegt.</w:t>
      </w:r>
    </w:p>
    <w:p>
      <w:r>
        <w:rPr>
          <w:color w:val="555555"/>
          <w:sz w:val="17"/>
        </w:rPr>
        <w:t xml:space="preserve">Zitiervorschlag: Anhang IV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https://recht.nulegal.eu/gesetze/AltholzV/anhang-iv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