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II AltholzV — (zu § 3 Abs. 1) Grenzwerte für Holzhackschnitzel und Holzspäne zur Herstellung von Holzwerkstoffen</w:t>
      </w:r>
    </w:p>
    <w:p>
      <w:r>
        <w:rPr>
          <w:color w:val="555555"/>
          <w:sz w:val="18"/>
        </w:rPr>
        <w:t xml:space="preserve">Altholzverordnung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2002, 3306</w:t>
      </w:r>
    </w:p>
    <w:p>
      <w:r>
        <w:rPr>
          <w:rFonts w:ascii="Courier New" w:hAnsi="Courier New"/>
          <w:sz w:val="17"/>
        </w:rPr>
        <w:t xml:space="preserve">Spalte 1    Spalte 2</w:t>
      </w:r>
    </w:p>
    <w:p>
      <w:r>
        <w:rPr>
          <w:rFonts w:ascii="Courier New" w:hAnsi="Courier New"/>
          <w:sz w:val="17"/>
        </w:rPr>
        <w:t xml:space="preserve">Element/Verbindung    Konzentration (Milligramm je Kilogramm Trockenmasse)</w:t>
      </w:r>
    </w:p>
    <w:p>
      <w:r>
        <w:rPr>
          <w:rFonts w:ascii="Courier New" w:hAnsi="Courier New"/>
          <w:sz w:val="17"/>
        </w:rPr>
        <w:t xml:space="preserve">Arsen    2</w:t>
      </w:r>
    </w:p>
    <w:p>
      <w:r>
        <w:rPr>
          <w:rFonts w:ascii="Courier New" w:hAnsi="Courier New"/>
          <w:sz w:val="17"/>
        </w:rPr>
        <w:t xml:space="preserve">Blei    30</w:t>
      </w:r>
    </w:p>
    <w:p>
      <w:r>
        <w:rPr>
          <w:rFonts w:ascii="Courier New" w:hAnsi="Courier New"/>
          <w:sz w:val="17"/>
        </w:rPr>
        <w:t xml:space="preserve">Cadmium    2</w:t>
      </w:r>
    </w:p>
    <w:p>
      <w:r>
        <w:rPr>
          <w:rFonts w:ascii="Courier New" w:hAnsi="Courier New"/>
          <w:sz w:val="17"/>
        </w:rPr>
        <w:t xml:space="preserve">Chrom    30</w:t>
      </w:r>
    </w:p>
    <w:p>
      <w:r>
        <w:rPr>
          <w:rFonts w:ascii="Courier New" w:hAnsi="Courier New"/>
          <w:sz w:val="17"/>
        </w:rPr>
        <w:t xml:space="preserve">Kupfer    20</w:t>
      </w:r>
    </w:p>
    <w:p>
      <w:r>
        <w:rPr>
          <w:rFonts w:ascii="Courier New" w:hAnsi="Courier New"/>
          <w:sz w:val="17"/>
        </w:rPr>
        <w:t xml:space="preserve">Quecksilber    0,4</w:t>
      </w:r>
    </w:p>
    <w:p>
      <w:r>
        <w:rPr>
          <w:rFonts w:ascii="Courier New" w:hAnsi="Courier New"/>
          <w:sz w:val="17"/>
        </w:rPr>
        <w:t xml:space="preserve">Chlor    600</w:t>
      </w:r>
    </w:p>
    <w:p>
      <w:r>
        <w:rPr>
          <w:rFonts w:ascii="Courier New" w:hAnsi="Courier New"/>
          <w:sz w:val="17"/>
        </w:rPr>
        <w:t xml:space="preserve">Fluor    100</w:t>
      </w:r>
    </w:p>
    <w:p>
      <w:r>
        <w:rPr>
          <w:rFonts w:ascii="Courier New" w:hAnsi="Courier New"/>
          <w:sz w:val="17"/>
        </w:rPr>
        <w:t xml:space="preserve">Pentachlorphenol    3</w:t>
      </w:r>
    </w:p>
    <w:p>
      <w:r>
        <w:rPr>
          <w:rFonts w:ascii="Courier New" w:hAnsi="Courier New"/>
          <w:sz w:val="17"/>
        </w:rPr>
        <w:t xml:space="preserve">Polychlorierte Biphenyle    5</w:t>
      </w:r>
    </w:p>
    <w:p>
      <w:r>
        <w:rPr>
          <w:color w:val="555555"/>
          <w:sz w:val="17"/>
        </w:rPr>
        <w:t xml:space="preserve">Zitiervorschlag: Anhang II AltholzV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https://recht.nulegal.eu/gesetze/AltholzV/anhang-ii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