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AltholzV — Kontrolle von Altholz zur energetischen Verwertung</w:t>
      </w:r>
    </w:p>
    <w:p>
      <w:r>
        <w:rPr>
          <w:color w:val="555555"/>
          <w:sz w:val="18"/>
        </w:rPr>
        <w:t xml:space="preserve">Altholzverordnung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Zulässigkeit des Einsatzes von Altholz in einer nach dem Bundes-Immissionsschutzgesetz genehmigten Anlage auf bestimmte Altholzkategorien beschränkt ist, hat der Betreiber der Altholzbehandlungsanlage das vorgebrochene Altholz in Chargen von jeweils nicht mehr als 500 Tonnen jedes nach § 5 Abs. 1 Satz 2 Nr. 1 Satz 1 für einen bestimmten Verwertungsweg zugeordneten Altholzes auf dessen ordnungsgemäße Zuordnung zu untersuchen. Die Untersuchung ist gemäß Anhang V durchzuführen.</w:t>
      </w:r>
    </w:p>
    <w:p>
      <w:r>
        <w:t xml:space="preserve">(2) Die beprobte Charge darf nachfolgend der weiteren energetischen Verwertung nur zugeführt werden, wenn der Anteil von Altholz höherer Altholzkategorien insgesamt 2 Prozent je entnommener Altholzprobe nicht überschreitet. Ergibt die Untersuchung einen Anteil von Altholz höherer Altholzkategorien von insgesamt mehr als 2 Prozent je entnommener Altholzprobe, so findet § 3 Abs. 3 entsprechende Anwendung, soweit nicht eine erneute Zuordnung nach § 5 Abs. 1 Satz 2 Nr. 1 Satz 1 durchgeführt wird. § 6 Abs. 5 gilt entsprechend.</w:t>
      </w:r>
    </w:p>
    <w:p>
      <w:r>
        <w:t xml:space="preserve">(3) Soweit Altholz in Anlagen energetisch verwertet werden soll, die keiner Genehmigung nach dem Bundes-Immissionsschutzgesetz bedürfen, darf die beprobte Charge abweichend von Absatz 2 nur dann nachfolgend der weiteren energetischen Verwertung zugeführt werden, wenn kein Altholz höherer Kategorien enthalten ist. Absatz 2 Satz 2 gilt entsprechend.</w:t>
      </w:r>
    </w:p>
    <w:p>
      <w:r>
        <w:t xml:space="preserve">(4) In Anlagen, mit deren Abgas oder Flammen Futter in unmittelbarer Berührung getrocknet wird, ist der Einsatz von Altholz auf die Altholzkategorie A I beschränkt.</w:t>
      </w:r>
    </w:p>
    <w:p>
      <w:r>
        <w:t xml:space="preserve">(5) Weitergehende Anforderungen nach dem Bundes-Immissionsschutzgesetz und der darauf beruhenden Regelungen bleiben unberührt.</w:t>
      </w:r>
    </w:p>
    <w:p>
      <w:r>
        <w:rPr>
          <w:color w:val="555555"/>
          <w:sz w:val="17"/>
        </w:rPr>
        <w:t xml:space="preserve">Zitiervorschlag: § 7 AltholzV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https://recht.nulegal.eu/gesetze/AltholzV/7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