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AltholzV — Zuordnung zu Altholzkategorien</w:t>
      </w:r>
    </w:p>
    <w:p>
      <w:r>
        <w:rPr>
          <w:color w:val="555555"/>
          <w:sz w:val="18"/>
        </w:rPr>
        <w:t xml:space="preserve">Altholzverordnung</w:t>
      </w:r>
    </w:p>
    <w:p>
      <w:r>
        <w:rPr>
          <w:color w:val="555555"/>
          <w:sz w:val="18"/>
        </w:rPr>
        <w:t xml:space="preserve">Stand: 10.06.2019 (konsolidierte Textfassung, kein amtliches Inkrafttretensdatum)</w:t>
      </w:r>
    </w:p>
    <w:p>
      <w:r>
        <w:t xml:space="preserve">(1) Zur Erfüllung der Anforderungen nach § 3 hat der Betreiber einer Altholzbehandlungsanlage sicherzustellen, dass bei der vorgesehenen Verwertung nur die hierfür zugelassenen Altholzkategorien eingesetzt werden und das eingesetzte Altholz entfrachtet von Störstoffen und frei von PCB-Altholz ist. Zur Einhaltung der Anforderungen nach Satz 1 hat der Betreiber der Altholzbehandlungsanlage folgende Maßnahmen durchzuführen:</w:t>
      </w:r>
    </w:p>
    <w:p>
      <w:pPr>
        <w:ind w:left="420"/>
      </w:pPr>
      <w:r>
        <w:t xml:space="preserve">1. Durch Sichtkontrolle und Sortierung ist das Altholz den für den vorgesehenen Verwertungsweg zugelassenen Altholzkategorien zuzuordnen. Bei Verdacht auf Teerölbehandlung ist Altholz der Altholzkategorie A IV zuzuordnen. Bei der Zuordnung sind Sortiment und Herkunft des Altholzes gemäß Anhang III als Regelvermutung zu beachten. Die Einstufung in eine andere Altholzkategorie ist in besonders begründeten Ausnahmefällen zulässig. Sie ist im Betriebstagebuch zu begründen und zu dokumentieren.</w:t>
      </w:r>
    </w:p>
    <w:p>
      <w:pPr>
        <w:ind w:left="420"/>
      </w:pPr>
      <w:r>
        <w:t xml:space="preserve">2. Störstoffe sind auszusortieren.</w:t>
      </w:r>
    </w:p>
    <w:p>
      <w:pPr>
        <w:ind w:left="420"/>
      </w:pPr>
      <w:r>
        <w:t xml:space="preserve">3. Lässt sich Altholz nicht eindeutig einer Altholzkategorie zuordnen, ist es in eine höhere Altholzkategorie einzustufen.</w:t>
      </w:r>
    </w:p>
    <w:p>
      <w:pPr>
        <w:ind w:left="420"/>
      </w:pPr>
      <w:r>
        <w:t xml:space="preserve">4. Das für die Zuordnung eingesetzte Personal muss über die erforderliche Sachkunde verfügen. Die Sachkunde erfordert eine betriebliche Einarbeitung auf der Grundlage eines Einarbeitungsplanes.</w:t>
      </w:r>
    </w:p>
    <w:p>
      <w:r>
        <w:t xml:space="preserve">(2) Aussortiertes Altholz und Störstoffe, für deren weitere Entsorgung die Anlage nicht zugelassen ist, sind unverzüglich gesondert bereitzustellen und einer zulässigen Entsorgung zuzuführen.</w:t>
      </w:r>
    </w:p>
    <w:p>
      <w:r>
        <w:rPr>
          <w:color w:val="555555"/>
          <w:sz w:val="17"/>
        </w:rPr>
        <w:t xml:space="preserve">Zitiervorschlag: § 5 AltholzV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https://recht.nulegal.eu/gesetze/AltholzV/5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