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AltholzV — Anforderungen an die Verwertung</w:t>
      </w:r>
    </w:p>
    <w:p>
      <w:r>
        <w:rPr>
          <w:color w:val="555555"/>
          <w:sz w:val="18"/>
        </w:rPr>
        <w:t xml:space="preserve">Altholzverordnung</w:t>
      </w:r>
    </w:p>
    <w:p>
      <w:r>
        <w:rPr>
          <w:color w:val="555555"/>
          <w:sz w:val="18"/>
        </w:rPr>
        <w:t xml:space="preserve">Stand: 10.06.2019 (konsolidierte Textfassung, kein amtliches Inkrafttretensdatum)</w:t>
      </w:r>
    </w:p>
    <w:p>
      <w:r>
        <w:t xml:space="preserve">(1) Zur Gewährleistung einer schadlosen stofflichen Verwertung von Altholz sind die Anforderungen des Anhangs I einzuhalten. Gemäß Anhang I dürfen für die in Spalte 1 bezeichneten Verwertungsverfahren nur die in Spalte 2 genannten Altholzkategorien unter Beachtung der in Spalte 3 aufgeführten besonderen Anforderungen an die stoffliche Verwertung eingesetzt werden. Die zum Zwecke der Herstellung von Holzwerkstoffen aufbereiteten Holzhackschnitzel und Holzspäne dürfen die in Anhang II genannten Grenzwerte nicht überschreiten. Diese gelten als eingehalten, wenn der Grenzwert im gleitenden Durchschnitt der vier zuletzt nach § 6 Abs. 2 durchgeführten Untersuchungen nicht überschritten wird und kein Analyseergebnis den Grenzwert um mehr als 25 von Hundert überschreitet.</w:t>
      </w:r>
    </w:p>
    <w:p>
      <w:r>
        <w:t xml:space="preserve">(2) Die energetische Verwertung von Altholz hat entsprechend den Regelungen des Bundes-Immissionsschutzgesetzes und den auf seiner Grundlage ergangenen Rechtsverordnungen zu erfolgen.</w:t>
      </w:r>
    </w:p>
    <w:p>
      <w:r>
        <w:t xml:space="preserve">(3) Bei einem Gemisch von Altholz unterschiedlicher Altholzkategorien richten sich die Anforderungen an die Verwertung nach den Absätzen 1 und 2 nach der jeweils höchsten Altholzkategorie. Für die Herstellung von Holzwerkstoffen dürfen unterschiedliche Altholzkontingente nur miteinander vermischt werden, wenn für jedes der Kontingente die Anforderungen des Anhangs II erfüllt sind.</w:t>
      </w:r>
    </w:p>
    <w:p>
      <w:r>
        <w:rPr>
          <w:color w:val="555555"/>
          <w:sz w:val="17"/>
        </w:rPr>
        <w:t xml:space="preserve">Zitiervorschlag: § 3 AltholzV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https://recht.nulegal.eu/gesetze/AltholzV/3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