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AltholzV — Begriffsbestimmungen</w:t>
      </w:r>
    </w:p>
    <w:p>
      <w:r>
        <w:rPr>
          <w:color w:val="555555"/>
          <w:sz w:val="18"/>
        </w:rPr>
        <w:t xml:space="preserve">Altholzverordnung</w:t>
      </w:r>
    </w:p>
    <w:p>
      <w:r>
        <w:rPr>
          <w:color w:val="555555"/>
          <w:sz w:val="18"/>
        </w:rPr>
        <w:t xml:space="preserve">Stand: 10.06.2019 (konsolidierte Textfassung, kein amtliches Inkrafttretensdatum)</w:t>
      </w:r>
    </w:p>
    <w:p>
      <w:r>
        <w:t xml:space="preserve">Im Sinne dieser Verordnung bedeuten die Begriffe</w:t>
      </w:r>
    </w:p>
    <w:p>
      <w:pPr>
        <w:ind w:left="420"/>
      </w:pPr>
      <w:r>
        <w:t xml:space="preserve">1. Altholz:Industrierestholz und Gebrauchtholz, soweit diese Abfall im Sinne des § 3 Absatz 1 des Kreislaufwirtschaftsgesetzes sind;</w:t>
      </w:r>
    </w:p>
    <w:p>
      <w:pPr>
        <w:ind w:left="420"/>
      </w:pPr>
      <w:r>
        <w:t xml:space="preserve">2. Industrierestholz:die in Betrieben der Holzbe- oder -verarbeitung anfallenden Holzreste einschließlich der in Betrieben der Holzwerkstoffindustrie anfallenden Holzwerkstoffreste sowie anfallende Verbundstoffe mit überwiegendem Holzanteil (mehr als 50 Masseprozent);</w:t>
      </w:r>
    </w:p>
    <w:p>
      <w:pPr>
        <w:ind w:left="420"/>
      </w:pPr>
      <w:r>
        <w:t xml:space="preserve">3. Gebrauchtholz:gebrauchte Erzeugnisse aus Massivholz, Holzwerkstoffen oder aus Verbundstoffen mit überwiegendem Holzanteil (mehr als 50 Masseprozent);</w:t>
      </w:r>
    </w:p>
    <w:p>
      <w:pPr>
        <w:ind w:left="420"/>
      </w:pPr>
      <w:r>
        <w:t xml:space="preserve">4. Altholzkategorie:</w:t>
      </w:r>
    </w:p>
    <w:p>
      <w:pPr>
        <w:ind w:left="780"/>
      </w:pPr>
      <w:r>
        <w:t xml:space="preserve">a) Altholzkategorie A I:naturbelassenes oder lediglich mechanisch bearbeitetes Altholz, das bei seiner Verwendung nicht mehr als unerheblich mit holzfremden Stoffen verunreinigt wurde,</w:t>
      </w:r>
    </w:p>
    <w:p>
      <w:pPr>
        <w:ind w:left="780"/>
      </w:pPr>
      <w:r>
        <w:t xml:space="preserve">b) Altholzkategorie A II:verleimtes, gestrichenes, beschichtetes, lackiertes oder anderweitig behandeltes Altholz ohne halogenorganische Verbindungen in der Beschichtung und ohne Holzschutzmittel,</w:t>
      </w:r>
    </w:p>
    <w:p>
      <w:pPr>
        <w:ind w:left="780"/>
      </w:pPr>
      <w:r>
        <w:t xml:space="preserve">c) Altholzkategorie A III:Altholz mit halogenorganischen Verbindungen in der Beschichtung ohne Holzschutzmittel,</w:t>
      </w:r>
    </w:p>
    <w:p>
      <w:pPr>
        <w:ind w:left="780"/>
      </w:pPr>
      <w:r>
        <w:t xml:space="preserve">d) Altholzkategorie A IV:mit Holzschutzmitteln behandeltes Altholz, wie Bahnschwellen, Leitungsmasten, Hopfenstangen, Rebpfähle, sowie sonstiges Altholz, das aufgrund seiner Schadstoffbelastung nicht den Altholzkategorien A I, A II oder A III zugeordnet werden kann, ausgenommen PCB-Altholz;</w:t>
      </w:r>
    </w:p>
    <w:p>
      <w:pPr>
        <w:ind w:left="420"/>
      </w:pPr>
      <w:r>
        <w:t xml:space="preserve">5. PCB-Altholz:Altholz, das PCB im Sinne der PCB/PCT-Abfallverordnung ist und nach deren Vorschriften zu entsorgen ist, insbesondere Dämm- und Schallschutzplatten, die mit Mitteln behandelt wurden, die polychlorierte Biphenyle enthalten;</w:t>
      </w:r>
    </w:p>
    <w:p>
      <w:pPr>
        <w:ind w:left="420"/>
      </w:pPr>
      <w:r>
        <w:t xml:space="preserve">6. Holzschutzmittel:bei der Be- und Verarbeitung des Holzes eingesetzte Stoffe mit biozider Wirkung gegen Holz zerstörende Insekten oder Pilze sowie Holz verfärbende Pilze, ferner Stoffe zur Herabsetzung der Entflammbarkeit von Holz;</w:t>
      </w:r>
    </w:p>
    <w:p>
      <w:pPr>
        <w:ind w:left="420"/>
      </w:pPr>
      <w:r>
        <w:t xml:space="preserve">7. stoffliche Verwertung von Altholz:</w:t>
      </w:r>
    </w:p>
    <w:p>
      <w:pPr>
        <w:ind w:left="780"/>
      </w:pPr>
      <w:r>
        <w:t xml:space="preserve">a) Aufbereitung von Altholz zu Holzhackschnitzeln und Holzspänen für die Herstellung von Holzwerkstoffen,</w:t>
      </w:r>
    </w:p>
    <w:p>
      <w:pPr>
        <w:ind w:left="780"/>
      </w:pPr>
      <w:r>
        <w:t xml:space="preserve">b) Gewinnung von Synthesegas zur weiteren chemischen Nutzung und</w:t>
      </w:r>
    </w:p>
    <w:p>
      <w:pPr>
        <w:ind w:left="780"/>
      </w:pPr>
      <w:r>
        <w:t xml:space="preserve">c) Herstellung von Aktivkohle/Industrieholzkohle;</w:t>
      </w:r>
    </w:p>
    <w:p>
      <w:pPr>
        <w:ind w:left="420"/>
      </w:pPr>
      <w:r>
        <w:t xml:space="preserve">8. energetische Verwertung von Altholz:Verwertung von Altholz im Sinne des § 3 Absatz 23 in Verbindung mit dem Verfahren R 1 der Anlage 2 des Kreislaufwirtschaftsgesetzes;</w:t>
      </w:r>
    </w:p>
    <w:p>
      <w:pPr>
        <w:ind w:left="420"/>
      </w:pPr>
      <w:r>
        <w:t xml:space="preserve">9. Altholzbehandlungsanlage:Anlage zur stofflichen oder energetischen Verwertung von Altholz sowie Anlagen zur Sortierung oder sonstigen Behandlung von Altholz einschließlich jeweils zugehöriger Lagerung;</w:t>
      </w:r>
    </w:p>
    <w:p>
      <w:pPr>
        <w:ind w:left="420"/>
      </w:pPr>
      <w:r>
        <w:t xml:space="preserve">10. Störstoffe:anorganische oder organische holzfremde Stoffe, insbesondere Bodenmaterial, Steine, Beton, Metallteile, Papier, Pappe, Textilien, Kunststoffe oder Folien, die dem Altholz anhaften, beigemengt oder mit diesem verbunden sind, soweit diese die Verwertung behindern.</w:t>
      </w:r>
    </w:p>
    <w:p>
      <w:r>
        <w:rPr>
          <w:color w:val="555555"/>
          <w:sz w:val="17"/>
        </w:rPr>
        <w:t xml:space="preserve">Zitiervorschlag: § 2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