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AltholzV — Hinweis- und Kennzeichnungspflichten</w:t>
      </w:r>
    </w:p>
    <w:p>
      <w:r>
        <w:rPr>
          <w:color w:val="555555"/>
          <w:sz w:val="18"/>
        </w:rPr>
        <w:t xml:space="preserve">Altholzverordnung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Altholz einer Altholzbehandlungsanlage zuführt, hat das angelieferte Altholz nach Altholzkategorie und Menge zu deklarieren. Für die Deklaration des Altholzes ist der Anlieferungsschein gemäß Anhang VI zu verwenden.</w:t>
      </w:r>
    </w:p>
    <w:p>
      <w:r>
        <w:t xml:space="preserve">(2) Der Betreiber einer Altholzbehandlungsanlage darf das Altholz nur entgegennehmen, wenn ihm ein Anlieferungsschein ausgehändigt wird.</w:t>
      </w:r>
    </w:p>
    <w:p>
      <w:r>
        <w:t xml:space="preserve">(3) Die Absätze 1 und 2 gelten nicht für die Anlieferung von Kleinmengen bis zu 100 Kilogramm.</w:t>
      </w:r>
    </w:p>
    <w:p>
      <w:r>
        <w:t xml:space="preserve">(4) Abweichend von den Absätzen 1 und 2 kann die Deklaration von Altholz auch mit Hilfe von Praxisbelegen, insbesondere von Liefer- und Wiegescheinen geführt werden, wenn diese Belege die zur Deklaration erforderlichen Angaben enthalten.</w:t>
      </w:r>
    </w:p>
    <w:p>
      <w:r>
        <w:t xml:space="preserve">(5) Sind über die Entsorgung von Altholz Begleit- oder Übernahmescheine nach der Nachweisverordnung zu führen, so kann die Deklaration des Altholzes auch im Feld "Frei für Vermerke" des Begleit- oder Übernahmescheines erfolgen. Absatz 4 gilt entsprechend. Die Bestimmungen zur elektronischen Nachweisführung nach der Nachweisverordnung finden entsprechende Anwendung.</w:t>
      </w:r>
    </w:p>
    <w:p>
      <w:r>
        <w:rPr>
          <w:color w:val="555555"/>
          <w:sz w:val="17"/>
        </w:rPr>
        <w:t xml:space="preserve">Zitiervorschlag: § 11 AltholzV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https://recht.nulegal.eu/gesetze/AltholzV/11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