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AltholzV — Pflichten der Erzeuger und Besitzer zur Getrennthaltung von Altholz</w:t>
      </w:r>
    </w:p>
    <w:p>
      <w:r>
        <w:rPr>
          <w:color w:val="555555"/>
          <w:sz w:val="18"/>
        </w:rPr>
        <w:t xml:space="preserve">Altholzverordnung</w:t>
      </w:r>
    </w:p>
    <w:p>
      <w:r>
        <w:rPr>
          <w:color w:val="555555"/>
          <w:sz w:val="18"/>
        </w:rPr>
        <w:t xml:space="preserve">Stand: 10.06.2019 (konsolidierte Textfassung, kein amtliches Inkrafttretensdatum)</w:t>
      </w:r>
    </w:p>
    <w:p>
      <w:r>
        <w:t xml:space="preserve">Die nach § 1 Abs. 2 Verpflichteten haben Altholz, das in Mengen von insgesamt mehr als 1 Kubikmeter loses Schüttvolumen oder 0,3 Tonnen pro Tag anfällt, sowie PCB-Altholz, kyanisiertes oder mit Teeröl behandeltes Altholz an der Anfallstelle nach Herkunft und Sortiment gemäß Anhang III oder nach Altholzkategorien getrennt zu erfassen sowie getrennt zu sammeln, bereitzustellen, zu überlassen, einzusammeln, zu befördern und zu lagern, soweit dies zur Erfüllung der Anforderungen nach den §§ 3, 8 und 9 erforderlich ist.</w:t>
      </w:r>
    </w:p>
    <w:p>
      <w:r>
        <w:rPr>
          <w:color w:val="555555"/>
          <w:sz w:val="17"/>
        </w:rPr>
        <w:t xml:space="preserve">Zitiervorschlag: § 10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