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AltholzV — Anwendungsbereich</w:t>
      </w:r>
    </w:p>
    <w:p>
      <w:r>
        <w:rPr>
          <w:color w:val="555555"/>
          <w:sz w:val="18"/>
        </w:rPr>
        <w:t xml:space="preserve">Altholzverordnung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</w:t>
      </w:r>
    </w:p>
    <w:p>
      <w:pPr>
        <w:ind w:left="420"/>
      </w:pPr>
      <w:r>
        <w:t xml:space="preserve">1. die stoffliche Verwertung,</w:t>
      </w:r>
    </w:p>
    <w:p>
      <w:pPr>
        <w:ind w:left="420"/>
      </w:pPr>
      <w:r>
        <w:t xml:space="preserve">2. die energetische Verwertung und</w:t>
      </w:r>
    </w:p>
    <w:p>
      <w:pPr>
        <w:ind w:left="420"/>
      </w:pPr>
      <w:r>
        <w:t xml:space="preserve">3. die Beseitigung</w:t>
      </w:r>
    </w:p>
    <w:p>
      <w:r>
        <w:t xml:space="preserve">von Altholz.</w:t>
      </w:r>
    </w:p>
    <w:p>
      <w:r>
        <w:t xml:space="preserve">(2) Diese Verordnung gilt für</w:t>
      </w:r>
    </w:p>
    <w:p>
      <w:pPr>
        <w:ind w:left="420"/>
      </w:pPr>
      <w:r>
        <w:t xml:space="preserve">1. Erzeuger und Besitzer von Altholz,</w:t>
      </w:r>
    </w:p>
    <w:p>
      <w:pPr>
        <w:ind w:left="420"/>
      </w:pPr>
      <w:r>
        <w:t xml:space="preserve">2. Betreiber von Anlagen, in denen Altholz verwertet oder beseitigt wird,</w:t>
      </w:r>
    </w:p>
    <w:p>
      <w:pPr>
        <w:ind w:left="420"/>
      </w:pPr>
      <w:r>
        <w:t xml:space="preserve">3. öffentlich-rechtliche Entsorgungsträger, soweit sie Altholz verwerten oder beseitigen und</w:t>
      </w:r>
    </w:p>
    <w:p>
      <w:pPr>
        <w:ind w:left="420"/>
      </w:pPr>
      <w:r>
        <w:t xml:space="preserve">4. Dritte, Verbände und Selbstverwaltungskörperschaften der Wirtschaft, denen nach § 16 Abs. 2, § 17 Abs. 3 oder § 18 Abs. 2 des Kreislaufwirtschafts- und Abfallgesetzes vom 27. September 1994 (BGBl. I S. 2705), das zuletzt durch Artikel 5 des Gesetzes vom 6. Oktober 2011 (BGBl. I S. 1986) geändert worden ist, Pflichten zur Verwertung oder Beseitigung von Altholz übertragen worden sind.</w:t>
      </w:r>
    </w:p>
    <w:p>
      <w:r>
        <w:t xml:space="preserve">(3) Diese Verordnung gilt nicht für eine stoffliche Verwertung von Altholz, die von Absatz 1 in Verbindung mit § 2 Nr. 7 nicht erfasst wird. Diese Verordnung gilt auch nicht für Anlagen nach § 5 der Verordnung über kleine und mittlere Feuerungsanlagen.</w:t>
      </w:r>
    </w:p>
    <w:p>
      <w:r>
        <w:rPr>
          <w:color w:val="555555"/>
          <w:sz w:val="17"/>
        </w:rPr>
        <w:t xml:space="preserve">Zitiervorschlag: § 1 AltholzV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https://recht.nulegal.eu/gesetze/AltholzV/1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