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AltgAATVDBest</w:t>
      </w:r>
    </w:p>
    <w:p>
      <w:r>
        <w:rPr>
          <w:color w:val="555555"/>
          <w:sz w:val="18"/>
        </w:rPr>
        <w:t xml:space="preserve">Durchführungsbestimmung zur Verordnung über die Tilgung der Anteilrechte von Inhabern mit Wohnsitz außerhalb der Deutschen Demokratischen Republik an der Altguthaben-Ablösungs-Anleihe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§ 2 der Verordnung über die Tilgung der Anteilrechte von Inhabern mit Wohnsitz außerhalb der DDR an der Altguthaben-Ablösungs-Anleihe vom 27. Juni 1990 (GBl. I Nr. 39 S. 543) wird für Bürger mit Wohnsitz in der Bundesrepublik Deutschland und Berlin (West) folgendes geregelt:</w:t>
      </w:r>
    </w:p>
    <w:p>
      <w:r>
        <w:rPr>
          <w:color w:val="555555"/>
          <w:sz w:val="17"/>
        </w:rPr>
        <w:t xml:space="preserve">Zitiervorschlag: Eingangsformel AltgAATVDBest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https://recht.nulegal.eu/gesetze/AltgAATVDBest/eingangsformel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