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AltgAATV</w:t>
      </w:r>
    </w:p>
    <w:p>
      <w:r>
        <w:rPr>
          <w:color w:val="555555"/>
          <w:sz w:val="18"/>
        </w:rPr>
        <w:t xml:space="preserve">Altguthabentilgungsverordnung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Realisierung von bisher ruhenden Ansprüchen aus Anteilrechten an der Altguthaben-Ablösungs-Anleihe wird folgendes verordnet:</w:t>
      </w:r>
    </w:p>
    <w:p>
      <w:r>
        <w:rPr>
          <w:color w:val="555555"/>
          <w:sz w:val="17"/>
        </w:rPr>
        <w:t xml:space="preserve">Zitiervorschlag: Eingangsformel AltgAATV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