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AltgAATV</w:t>
      </w:r>
    </w:p>
    <w:p>
      <w:r>
        <w:rPr>
          <w:color w:val="555555"/>
          <w:sz w:val="18"/>
        </w:rPr>
        <w:t xml:space="preserve">Altguthabentilgungsverordnung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Ruhen der Ansprüche aus Anteilrechten an der Altguthaben-Ablösungs-Anleihe von Inhabern, die ihren Wohnsitz außerhalb der Grenzen der Deutschen Demokratischen Republik haben, gemäß § 2 der Vierten Verordnung über die Tilgung der Anteilrechte von Bürgern der Deutschen Demokratischen Republik an der Altguthaben-Ablösungs-Anleihe vom 18. Dezember 1963 (GBl. II Nr. 109 S. 861), wird ab 1. Juli 1990 aufgehoben.</w:t>
      </w:r>
    </w:p>
    <w:p>
      <w:r>
        <w:t xml:space="preserve">(2) Eine bestehende staatliche Verwaltung für Anteilrechte an der Altguthaben-Ablösungs-Anleihe gilt gleichzeitig als aufgehoben.</w:t>
      </w:r>
    </w:p>
    <w:p>
      <w:r>
        <w:rPr>
          <w:color w:val="555555"/>
          <w:sz w:val="17"/>
        </w:rPr>
        <w:t xml:space="preserve">Zitiervorschlag: § 1 AltgAATV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