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AltfAbwG — Aufhebung der Entschuldung</w:t>
      </w:r>
    </w:p>
    <w:p>
      <w:r>
        <w:rPr>
          <w:color w:val="555555"/>
          <w:sz w:val="18"/>
        </w:rPr>
        <w:t xml:space="preserve">Gesetz zur beschleunigten Abwicklung einiger Altforderungen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Entschuldung nach dem Gesetz über die Entschuldung der Klein- und Mittelbauern beim Eintritt in Landwirtschaftliche Produktionsgenossenschaften vom 17. Februar 1954 der Deutschen Demokratischen Republik (GBl. I Nr. 23 S. 224) wird mit Wirkung vom 1. Januar 2005 aufgehoben. Satz 1 gilt auch für Entschuldungen, die nach § 50 des Landwirtschaftsanpassungsgesetzes fortbestehen.</w:t>
      </w:r>
    </w:p>
    <w:p>
      <w:r>
        <w:rPr>
          <w:color w:val="555555"/>
          <w:sz w:val="17"/>
        </w:rPr>
        <w:t xml:space="preserve">Zitiervorschlag: § 1 AltfAbwG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https://recht.nulegal.eu/gesetze/AltfAbwG/1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