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AltersVersErhV</w:t>
      </w:r>
    </w:p>
    <w:p>
      <w:r>
        <w:rPr>
          <w:color w:val="555555"/>
          <w:sz w:val="18"/>
        </w:rPr>
        <w:t xml:space="preserve">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2 des Gesetzes über die Statistik für Bundeszwecke vom 3. September 1953 (Bundesgesetzbl. I S. 1314), zuletzt geändert durch das Einführungsgesetz zum Strafgesetzbuch vom 2. März 1974 (Bundesgesetzbl. I S. 469),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AltersVersErhV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