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AltersVersErhV</w:t>
      </w:r>
    </w:p>
    <w:p>
      <w:r>
        <w:rPr>
          <w:color w:val="555555"/>
          <w:sz w:val="18"/>
        </w:rPr>
        <w:t xml:space="preserve">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Erhebung werden erfaßt</w:t>
      </w:r>
    </w:p>
    <w:p>
      <w:pPr>
        <w:ind w:left="420"/>
      </w:pPr>
      <w:r>
        <w:t xml:space="preserve">1. die Formen der betrieblichen Altersversorgung,</w:t>
      </w:r>
    </w:p>
    <w:p>
      <w:pPr>
        <w:ind w:left="420"/>
      </w:pPr>
      <w:r>
        <w:t xml:space="preserve">2. die Zahl der Unternehmen, die über eine betriebliche Altersversorgung verfügen und die Zahl der Arbeitnehmer, die eine betriebliche Versorgungsleistung zu erwarten haben,</w:t>
      </w:r>
    </w:p>
    <w:p>
      <w:pPr>
        <w:ind w:left="420"/>
      </w:pPr>
      <w:r>
        <w:t xml:space="preserve">3. die durchschnittliche Höhe der monatlichen Versorgungsleistung, die im Zeitpunkt der Erhebung nach 35 Dienstjahren im Unternehmen erreicht wird,</w:t>
      </w:r>
    </w:p>
    <w:p>
      <w:pPr>
        <w:ind w:left="420"/>
      </w:pPr>
      <w:r>
        <w:t xml:space="preserve">4. die Aufwendungen der Unternehmen für die betriebliche Altersversorgung im Jahre 1973.</w:t>
      </w:r>
    </w:p>
    <w:p>
      <w:r>
        <w:rPr>
          <w:color w:val="555555"/>
          <w:sz w:val="17"/>
        </w:rPr>
        <w:t xml:space="preserve">Zitiervorschlag: § 3 AltersVersErhV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