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AltersVersErhV 2</w:t>
      </w:r>
    </w:p>
    <w:p>
      <w:r>
        <w:rPr>
          <w:color w:val="555555"/>
          <w:sz w:val="18"/>
        </w:rPr>
        <w:t xml:space="preserve">Zweite Verordnung zur Durchführung einer Erhebung über Arten und Umfang der betrieblichen Altersversorgung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Erhebung wird vom Statistischen Bundesamt aufbereitet.</w:t>
      </w:r>
    </w:p>
    <w:p>
      <w:r>
        <w:rPr>
          <w:color w:val="555555"/>
          <w:sz w:val="17"/>
        </w:rPr>
        <w:t xml:space="preserve">Zitiervorschlag: § 4a AltersVersErhV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https://recht.nulegal.eu/gesetze/AltersVersErhV%202/4a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