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AltersVersErhV 2</w:t>
      </w:r>
    </w:p>
    <w:p>
      <w:r>
        <w:rPr>
          <w:color w:val="555555"/>
          <w:sz w:val="18"/>
        </w:rPr>
        <w:t xml:space="preserve">Zweite Verordnung zur Durchführung einer Erhebung über Arten und Umfang der betrieblichen Altersversorgung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Auskunftspflichtig nach § 10 des Gesetzes über die Statistik für Bundeszwecke sind die Inhaber oder Leiter der befragten Unternehmen.</w:t>
      </w:r>
    </w:p>
    <w:p>
      <w:r>
        <w:rPr>
          <w:color w:val="555555"/>
          <w:sz w:val="17"/>
        </w:rPr>
        <w:t xml:space="preserve">Zitiervorschlag: § 4 AltersVersErhV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https://recht.nulegal.eu/gesetze/AltersVersErhV%202/4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