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AltautoV — Anforderungen an die Annahme und Rücknahme von Altfahrzeugen, an die ordnungsgemäße und schadlose Verwertung von Altfahrzeugen und Restkarossen sowie an die ordnungsgemäße und schadlose Entsorgung der dabei anfallenden Abfälle</w:t>
      </w:r>
    </w:p>
    <w:p>
      <w:r>
        <w:rPr>
          <w:color w:val="555555"/>
          <w:sz w:val="18"/>
        </w:rPr>
        <w:t xml:space="preserve">Altfahrzeug-Verordnung</w:t>
      </w:r>
    </w:p>
    <w:p>
      <w:r>
        <w:rPr>
          <w:color w:val="555555"/>
          <w:sz w:val="18"/>
        </w:rPr>
        <w:t xml:space="preserve">Stand: 01.01.2021 (konsolidierte Textfassung, kein amtliches Inkrafttretensdatum)</w:t>
      </w:r>
    </w:p>
    <w:p>
      <w:r>
        <w:t xml:space="preserve">Fundstelle des Originaltextes: BGBl. I 2002, 2221 - 2225; bzgl. der einzelnen Änderungen vgl. Fußnote</w:t>
      </w:r>
    </w:p>
    <w:p>
      <w:pPr>
        <w:ind w:left="420"/>
      </w:pPr>
      <w:r>
        <w:t xml:space="preserve">1. Allgemeine AnforderungenDie Vorschriften der §§ 62, 63 des Wasserhaushaltsgesetzes sowie der Rechtsverordnung nach § 23 Absatz 1 Nummer 6 in Verbindung mit § 62 Absatz 4 des Wasserhaushaltsgesetzes bleiben unberührt.</w:t>
      </w:r>
    </w:p>
    <w:p>
      <w:pPr>
        <w:ind w:left="420"/>
      </w:pPr>
      <w:r>
        <w:t xml:space="preserve">2. Anforderungen an Annahmestellen und Rücknahmestellen</w:t>
      </w:r>
    </w:p>
    <w:p>
      <w:pPr>
        <w:ind w:left="420"/>
      </w:pPr>
      <w:r>
        <w:t xml:space="preserve">2.1 Allgemeines</w:t>
      </w:r>
    </w:p>
    <w:p>
      <w:pPr>
        <w:ind w:left="420"/>
      </w:pPr>
      <w:r>
        <w:t xml:space="preserve">2.1.1 Annahmestellen haben den Zweck, Altfahrzeuge vom Besitzer zu übernehmen, für den Abtransport bereitzustellen und einem anerkannten Demontagebetrieb zuzuführen. Die Zusammenarbeit mit den Demontagebetrieben ist durch Verträge zu regeln.</w:t>
      </w:r>
    </w:p>
    <w:p>
      <w:pPr>
        <w:ind w:left="420"/>
      </w:pPr>
      <w:r>
        <w:t xml:space="preserve">2.1.2 Annahmestellen dürfen Altfahrzeuge nicht behandeln, insbesondere nicht trockenlegen und demontieren. Durch die Vereinbarung eines geeigneten Abholrhythmus zwischen Demontagebetrieb und Annahmestelle ist sicherzustellen, dass lagerungsbedingte Umweltschäden vermieden werden.</w:t>
      </w:r>
    </w:p>
    <w:p>
      <w:pPr>
        <w:ind w:left="420"/>
      </w:pPr>
      <w:r>
        <w:t xml:space="preserve">2.1.3 Annahmestellen müssen über eine erforderliche, dem Betriebszweck entsprechende baurechtliche Nutzungsgenehmigung verfügen und die einschlägigen rechtlichen Regelungen, insbesondere zum Umwelt- und Arbeitsschutz, einhalten.</w:t>
      </w:r>
    </w:p>
    <w:p>
      <w:pPr>
        <w:ind w:left="420"/>
      </w:pPr>
      <w:r>
        <w:t xml:space="preserve">2.1.4 Die angenommenen Altfahrzeuge dürfen nicht direkt übereinander geschichtet und nicht auf der Seite oder auf dem Dach liegend bereitgestellt werden. Die Bereitstellung hat so zu erfolgen, dass Beschädigungen flüssigkeitstragender Bauteile (z. B. Ölwanne, Tank, Bremsleitungen) oder demontierbarer Teile, wie z. B. Glasscheiben, vermieden werden.</w:t>
      </w:r>
    </w:p>
    <w:p>
      <w:pPr>
        <w:ind w:left="420"/>
      </w:pPr>
      <w:r>
        <w:t xml:space="preserve">2.2 Platzgröße, Platzaufteilung und Ausrüstung von Annahmestellen</w:t>
      </w:r>
    </w:p>
    <w:p>
      <w:pPr>
        <w:ind w:left="420"/>
      </w:pPr>
      <w:r>
        <w:t xml:space="preserve">2.2.1 Die zur Annahme vorgesehene Gesamtfläche muss sich in die Bereiche Anlieferung und Bereitstellung zum Abtransport gliedern. Diese Fläche ist stoffundurchlässig gemäß den allgemein anerkannten Regeln der Technik für die Anforderungen nach Wasserrecht zu befestigen und mindestens über einen Leichtflüssigkeitsabscheider (z. B. nach DIN 1999 1) zu entwässern. Bei Überdachung der Fläche ist die Entwässerung über einen Leichtflüssigkeitsabscheider nicht erforderlich.</w:t>
      </w:r>
    </w:p>
    <w:p>
      <w:pPr>
        <w:ind w:left="420"/>
      </w:pPr>
      <w:r>
        <w:t xml:space="preserve">2.2.2 Zur Begutachtung und zum Transport nicht mehr rollfähiger Altfahrzeuge erforderliche Geräte müssen vorhanden sein.</w:t>
      </w:r>
    </w:p>
    <w:p>
      <w:pPr>
        <w:ind w:left="420"/>
      </w:pPr>
      <w:r>
        <w:t xml:space="preserve">2.2.3 Bindemittel für ausgetretene Betriebsflüssigkeiten sind in ausreichender Menge an einem witterungsgeschützten Lagerort vorzuhalten.</w:t>
      </w:r>
    </w:p>
    <w:p>
      <w:pPr>
        <w:ind w:left="420"/>
      </w:pPr>
      <w:r>
        <w:t xml:space="preserve">2.2.4 Ausreichende Feuerlöscheinrichtungen sind vorzuhalten.</w:t>
      </w:r>
    </w:p>
    <w:p>
      <w:pPr>
        <w:ind w:left="420"/>
      </w:pPr>
      <w:r>
        <w:t xml:space="preserve">2.2.5 Durch eine Einfriedung der Anlage ist unbefugter Zutritt zu verhindern.</w:t>
      </w:r>
    </w:p>
    <w:p>
      <w:pPr>
        <w:ind w:left="420"/>
      </w:pPr>
      <w:r>
        <w:t xml:space="preserve">2.2.6 Im Bereich der Einfahrt ist ein Hinweisschild mit Name, Anschrift und Öffnungszeiten des Betriebes zu befestigen.</w:t>
      </w:r>
    </w:p>
    <w:p>
      <w:pPr>
        <w:ind w:left="420"/>
      </w:pPr>
      <w:r>
        <w:t xml:space="preserve">2.3 DokumentationIn einem Betriebstagebuch sind sämtliche Zu- und Abgänge von Altfahrzeugen schriftlich festzuhalten. Darüber hinaus sind festzuhalten:</w:t>
      </w:r>
    </w:p>
    <w:p>
      <w:pPr>
        <w:ind w:left="780"/>
      </w:pPr>
      <w:r>
        <w:t xml:space="preserve">- Durchschriften der Verwertungsnachweise für alle entgegengenommenen Altfahrzeuge,</w:t>
      </w:r>
    </w:p>
    <w:p>
      <w:pPr>
        <w:ind w:left="780"/>
      </w:pPr>
      <w:r>
        <w:t xml:space="preserve">- besondere Vorkommnisse und Betriebsstörungen einschließlich der Ursachen und der durchgeführten Abhilfemaßnahmen.</w:t>
      </w:r>
    </w:p>
    <w:p>
      <w:pPr>
        <w:ind w:left="420"/>
      </w:pPr>
      <w:r>
        <w:t xml:space="preserve">Das Betriebstagebuch ist auf Verlangen der überwachenden Kfz-Innung, dem Sachverständigen oder der zuständigen Behörde vorzulegen. Außerdem ist die Zusammenarbeit mit den Demontagebetrieben durch Verträge zu dokumentieren.</w:t>
      </w:r>
    </w:p>
    <w:p>
      <w:pPr>
        <w:ind w:left="420"/>
      </w:pPr>
      <w:r>
        <w:t xml:space="preserve">2.4 RücknahmestellenDie Anforderungen der Nummern 2.1 bis 2.3 gelten für Rücknahmestellen entsprechend.</w:t>
      </w:r>
    </w:p>
    <w:p>
      <w:pPr>
        <w:ind w:left="420"/>
      </w:pPr>
      <w:r>
        <w:t xml:space="preserve">3. Anforderungen an Demontagebetriebe</w:t>
      </w:r>
    </w:p>
    <w:p>
      <w:pPr>
        <w:ind w:left="420"/>
      </w:pPr>
      <w:r>
        <w:t xml:space="preserve">3.1 Anforderungen an die Errichtung und Ausrüstung</w:t>
      </w:r>
    </w:p>
    <w:p>
      <w:pPr>
        <w:ind w:left="420"/>
      </w:pPr>
      <w:r>
        <w:t xml:space="preserve">3.1.1 Platzgröße und Platzaufteilung für die Altfahrzeugbehandlung müssen der Anzahl der anfallenden Altfahrzeuge und der Art ihrer Behandlung angepasst und so gewählt sein, dass die Anforderungen dieses Anhangs eingehalten werden.Die Betriebsfläche ist in folgende Bereiche zu gliedern:</w:t>
      </w:r>
    </w:p>
    <w:p>
      <w:pPr>
        <w:ind w:left="780"/>
      </w:pPr>
      <w:r>
        <w:t xml:space="preserve">- Anlieferung (Annahme und Erfassung),</w:t>
      </w:r>
    </w:p>
    <w:p>
      <w:pPr>
        <w:ind w:left="780"/>
      </w:pPr>
      <w:r>
        <w:t xml:space="preserve">- Eingangslager für nicht vorbehandelte Altfahrzeuge,</w:t>
      </w:r>
    </w:p>
    <w:p>
      <w:pPr>
        <w:ind w:left="780"/>
      </w:pPr>
      <w:r>
        <w:t xml:space="preserve">- Betriebsteile zur Vorbehandlung von Altfahrzeuge,</w:t>
      </w:r>
    </w:p>
    <w:p>
      <w:pPr>
        <w:ind w:left="780"/>
      </w:pPr>
      <w:r>
        <w:t xml:space="preserve">- Lager für vorbehandelte Altfahrzeuge,</w:t>
      </w:r>
    </w:p>
    <w:p>
      <w:pPr>
        <w:ind w:left="780"/>
      </w:pPr>
      <w:r>
        <w:t xml:space="preserve">- Demontage,</w:t>
      </w:r>
    </w:p>
    <w:p>
      <w:pPr>
        <w:ind w:left="780"/>
      </w:pPr>
      <w:r>
        <w:t xml:space="preserve">- Lager für gebrauchsfähige Kraftfahrzeugteile, die keine Flüssigkeiten enthalten,</w:t>
      </w:r>
    </w:p>
    <w:p>
      <w:pPr>
        <w:ind w:left="780"/>
      </w:pPr>
      <w:r>
        <w:t xml:space="preserve">- Lager für gebrauchsfähige flüssigkeitstragende Kraftfahrzeugteile,</w:t>
      </w:r>
    </w:p>
    <w:p>
      <w:pPr>
        <w:ind w:left="780"/>
      </w:pPr>
      <w:r>
        <w:t xml:space="preserve">- Lager für feste Abfälle zur Verwertung oder Beseitigung,</w:t>
      </w:r>
    </w:p>
    <w:p>
      <w:pPr>
        <w:ind w:left="780"/>
      </w:pPr>
      <w:r>
        <w:t xml:space="preserve">- Lager für flüssige Abfälle zur Verwertung oder Beseitigung,</w:t>
      </w:r>
    </w:p>
    <w:p>
      <w:pPr>
        <w:ind w:left="780"/>
      </w:pPr>
      <w:r>
        <w:t xml:space="preserve">- Lager für Restkarossen zum Abtransport,</w:t>
      </w:r>
    </w:p>
    <w:p>
      <w:pPr>
        <w:ind w:left="780"/>
      </w:pPr>
      <w:r>
        <w:t xml:space="preserve">- Fläche zur Verdichtung, sofern Maßnahmen zur Verdichtung durchgeführt werden.</w:t>
      </w:r>
    </w:p>
    <w:p>
      <w:pPr>
        <w:ind w:left="420"/>
      </w:pPr>
      <w:r>
        <w:t xml:space="preserve">Die verschiedenen Arbeitsbereiche sind deutlich zu kennzeichnen.Die angelieferten Altfahrzeuge dürfen vor ihrer Vorbehandlung nur auf Flächen zwischengelagert werden, die dafür geeignet sind.</w:t>
      </w:r>
    </w:p>
    <w:p>
      <w:pPr>
        <w:ind w:left="420"/>
      </w:pPr>
      <w:r>
        <w:t xml:space="preserve">3.1.2 Platzausrüstung</w:t>
      </w:r>
    </w:p>
    <w:p>
      <w:pPr>
        <w:ind w:left="420"/>
      </w:pPr>
      <w:r>
        <w:t xml:space="preserve">3.1.2.1 Die Bereiche Anlieferung und Eingangslager sind ausreichend zu bemessen und gemäß den allgemein anerkannten Regeln der Technik nach Wasserrecht zu befestigen.</w:t>
      </w:r>
    </w:p>
    <w:p>
      <w:pPr>
        <w:ind w:left="420"/>
      </w:pPr>
      <w:r>
        <w:t xml:space="preserve">3.1.2.2 Für die Bereiche Vorbehandlung, Demontage, Lager für Flüssigkeiten und flüssigkeitstragende Teile und Flächen zur Verdichtung sind ausreichende Vorkehrungen zu treffen, um zu gewährleisten, dass die verwertbaren Abfälle nicht in ihrer Beschaffenheit beeinträchtigt werden und eine Gefährdung der Umwelt ausgeschlossen wird, z. B. Einhausung, Überdachung oder Verdichtung in mobilen Pressen mit integriertem Auffangsystem. Flächen der in Satz 1 bezeichneten Bereiche müssen stoffundurchlässig gemäß den allgemein anerkannten Regeln der Technik nach Wasserrecht befestigt sein. Sind die Flächen nicht überdacht, müssen diese mindestens über einen Leichtflüssigkeitsabscheider (z. B. nach DIN 1999 1) entwässert werden.</w:t>
      </w:r>
    </w:p>
    <w:p>
      <w:pPr>
        <w:ind w:left="420"/>
      </w:pPr>
      <w:r>
        <w:t xml:space="preserve">3.1.2.3 Die Lagerung von vorbehandelten Altfahrzeugen und Restkarossen hat so zu erfolgen, dass eine Verunreinigung des Bodens und der Gewässer nicht zu besorgen ist.</w:t>
      </w:r>
    </w:p>
    <w:p>
      <w:pPr>
        <w:ind w:left="420"/>
      </w:pPr>
      <w:r>
        <w:t xml:space="preserve">3.1.2.4 Batterien sind gesondert in säurebeständigen Behältern oder auf einer abflusslosen und säurebeständigen Fläche zu lagern.</w:t>
      </w:r>
    </w:p>
    <w:p>
      <w:pPr>
        <w:ind w:left="420"/>
      </w:pPr>
      <w:r>
        <w:t xml:space="preserve">3.2 Anforderungen an den Betrieb</w:t>
      </w:r>
    </w:p>
    <w:p>
      <w:pPr>
        <w:ind w:left="420"/>
      </w:pPr>
      <w:r>
        <w:t xml:space="preserve">3.2.1 Allgemeines</w:t>
      </w:r>
    </w:p>
    <w:p>
      <w:pPr>
        <w:ind w:left="420"/>
      </w:pPr>
      <w:r>
        <w:t xml:space="preserve">3.2.1.1 Der Betreiber des Demontagebetrieb muss über die zum Errichten und zum Betrieb erforderliche Genehmigung nach dem Bundes-Immissionsschutzgesetz oder über die nach § 67 des Bundes-Immissionsschutzgesetzes erforderlichen Anzeigen verfügen und die einschlägigen rechtlichen Regelungen insbesondere zum Umwelt- und Arbeitsschutz einhalten. Der Betrieb ist so zu errichten, zu betreiben und zu unterhalten, dass die Anforderungen an die ordnungsgemäße und schadlose Verwertung sowie die gemeinwohlverträgliche Beseitigung von Abfällen eingehalten werden. Dies gilt entsprechend für diejenigen Demontagebetriebe, die keiner immissionsschutzrechtlichen Genehmigung bedürfen und insofern baurechtlich zu genehmigen sind.</w:t>
      </w:r>
    </w:p>
    <w:p>
      <w:pPr>
        <w:ind w:left="420"/>
      </w:pPr>
      <w:r>
        <w:t xml:space="preserve">3.2.1.2 Altfahrzeuge dürfen vor der Vorbehandlung nicht auf der Seite oder auf dem Dach gelagert werden, um den Austritt von Flüssigkeiten zu verhindern. Eine Stapelung ist nur zulässig, wenn geeignete Einrichtungen vorhanden sind, die eine Verformung und eine Beschädigung flüssigkeitstragender Bauteile wie Bremsleitungen, Ölwannen oder demontierbarer Teile, wie z. B. Glasscheiben, sicher verhindern.</w:t>
      </w:r>
    </w:p>
    <w:p>
      <w:pPr>
        <w:ind w:left="420"/>
      </w:pPr>
      <w:r>
        <w:t xml:space="preserve">3.2.1.3 Bei gestapelten, vorbehandelten Altfahrzeugen muss die Standsicherheit des Stapels gewährleistet sein. Ohne besondere Sicherungsmaßnahmen dürfen nicht mehr als drei Altfahrzeuge übereinander gestapelt werden.</w:t>
      </w:r>
    </w:p>
    <w:p>
      <w:pPr>
        <w:ind w:left="420"/>
      </w:pPr>
      <w:r>
        <w:t xml:space="preserve">3.2.1.4 Die Anforderungen nach den Nummern 3.2.1.2 und 3.2.1.3 gelten für den innerbetrieblichen Transport entsprechend.</w:t>
      </w:r>
    </w:p>
    <w:p>
      <w:pPr>
        <w:ind w:left="420"/>
      </w:pPr>
      <w:r>
        <w:t xml:space="preserve">3.2.1.5 Der Betreiber hat ein Betriebstagebuch schriftlich zu führen und ein Betriebshandbuch schriftlich zu erstellen. Die Anforderungen an das Betriebstagebuch ergeben sich aus den Dokumentationspflichten nach Nummer 3.3. Das Betriebshandbuch muss insbesondere die Bestimmungen über die Behandlung und Lagerung der Altfahrzeuge sowie Arbeits- und Betriebsanweisungen enthalten.Die Anforderungen gemäß TA Abfall Nummer 5.4 (GMBl. 1991 S. 147) gelten entsprechend. An die Stelle von Nummer 5.4.3.1 der TA Abfall treten die Anforderungen nach § 5 Absatz 1 der Entsorgungsfachbetriebeverordnung vom 2. Dezember 2016 in der jeweils geltenden Fassung.</w:t>
      </w:r>
    </w:p>
    <w:p>
      <w:pPr>
        <w:ind w:left="420"/>
      </w:pPr>
      <w:r>
        <w:t xml:space="preserve">3.2.2 Vorbehandlung</w:t>
      </w:r>
    </w:p>
    <w:p>
      <w:pPr>
        <w:ind w:left="420"/>
      </w:pPr>
      <w:r>
        <w:t xml:space="preserve">3.2.2.1 Betreiber von Demontagebetrieben müssen nach der Anlieferung bei jedem Altfahrzeug unverzüglich</w:t>
      </w:r>
    </w:p>
    <w:p>
      <w:pPr>
        <w:ind w:left="780"/>
      </w:pPr>
      <w:r>
        <w:t xml:space="preserve">- die Batterien entnehmen,</w:t>
      </w:r>
    </w:p>
    <w:p>
      <w:pPr>
        <w:ind w:left="780"/>
      </w:pPr>
      <w:r>
        <w:t xml:space="preserve">- den Flüssiggastank nach Vorgaben des Herstellers sachgerecht behandeln und</w:t>
      </w:r>
    </w:p>
    <w:p>
      <w:pPr>
        <w:ind w:left="780"/>
      </w:pPr>
      <w:r>
        <w:t xml:space="preserve">- die pyrotechnischen Bauteile durch geschultes Fachpersonal nach Vorgabe der Hersteller entweder demontieren und in zugelassenen Anlagen entsorgen lassen oder durch Auslösung im eingebauten Zustand unschädlich machen.</w:t>
      </w:r>
    </w:p>
    <w:p>
      <w:pPr>
        <w:ind w:left="420"/>
      </w:pPr>
      <w:r>
        <w:t xml:space="preserve">Betreiber von Demontagebetrieben müssen vor der weiteren Behandlung folgende Betriebsflüssigkeiten und Betriebsmittel entfernen und getrennt sammeln:</w:t>
      </w:r>
    </w:p>
    <w:p>
      <w:pPr>
        <w:ind w:left="780"/>
      </w:pPr>
      <w:r>
        <w:t xml:space="preserve">- Kraftstoff (dazu zählt auch Flüssiggas für den Fahrzeugantrieb),</w:t>
      </w:r>
    </w:p>
    <w:p>
      <w:pPr>
        <w:ind w:left="780"/>
      </w:pPr>
      <w:r>
        <w:t xml:space="preserve">- Kühlerflüssigkeit,</w:t>
      </w:r>
    </w:p>
    <w:p>
      <w:pPr>
        <w:ind w:left="780"/>
      </w:pPr>
      <w:r>
        <w:t xml:space="preserve">- Bremsflüssigkeit,</w:t>
      </w:r>
    </w:p>
    <w:p>
      <w:pPr>
        <w:ind w:left="780"/>
      </w:pPr>
      <w:r>
        <w:t xml:space="preserve">- Scheibenwaschflüssigkeit,</w:t>
      </w:r>
    </w:p>
    <w:p>
      <w:pPr>
        <w:ind w:left="780"/>
      </w:pPr>
      <w:r>
        <w:t xml:space="preserve">- Kältemittel aus Klimaanlagen (FCKW u. a.),</w:t>
      </w:r>
    </w:p>
    <w:p>
      <w:pPr>
        <w:ind w:left="780"/>
      </w:pPr>
      <w:r>
        <w:t xml:space="preserve">- Ölfilter,</w:t>
      </w:r>
    </w:p>
    <w:p>
      <w:pPr>
        <w:ind w:left="780"/>
      </w:pPr>
      <w:r>
        <w:t xml:space="preserve">- Motorenöl, Getriebeöl, Differenzialöl, Hydrauliköl und Stoßdämpferöl, sofern keine Demontage der Stoßdämpfer erfolgt; diese Öle können miteinander vermischt werden, sofern sie nach den Bestimmungen der Altölverordnung der Sammelkategorie 1 zuzuordnen sind.</w:t>
      </w:r>
    </w:p>
    <w:p>
      <w:pPr>
        <w:ind w:left="420"/>
      </w:pPr>
      <w:r>
        <w:t xml:space="preserve">Satz 2 gilt nicht für Bauteile, die als Ersatzteile wiederverwendet werden sollen, z. B. Motoren und Getriebe, wenn diese anschließend unverzüglich ausgebaut werden.Bauteile und Materialien, von denen eine Gefahr für Grund- und Oberflächenwasser ausgehen kann, sind auf den dafür vorgesehenen befestigten und überdachten Flächen zu lagern. Stoffe, die nach der Allgemeinen Verwaltungsvorschrift zum Wasserhaushaltsgesetz über die Einstufung wassergefährdender Stoffe in Wassergefährdungsklassen (VwVwS, BAnz. Nr. 98a vom 29. Mai 1999) als wassergefährdend eingestuft werden oder einzustufen sind, sind in dafür zugelassenen Behältern unter Beachtung der erlassenen Verordnungen der Länder zum Umgang mit wassergefährdenden Stoffen und über Fachbetriebe (AnlagenV - VAwS) abzufüllen und zu lagern.</w:t>
      </w:r>
    </w:p>
    <w:p>
      <w:pPr>
        <w:ind w:left="420"/>
      </w:pPr>
      <w:r>
        <w:t xml:space="preserve">3.2.2.2 Die Vorbehandlung nach Nummer 3.2.2.1 hat nach dem Stand der Technik zu erfolgen. Bei der Trockenlegung ist insbesondere die Tropffreiheit aller Aggregate zu erzielen. Alle Öffnungen, aus denen Flüssigkeiten austreten können, sind dicht zu verschließen. Von Satz 3 kann abgewichen werden, wenn die Restkarossen auf einer stoffundurchlässigen Fläche gelagert werden, die den allgemein anerkannten Regeln nach Wasserrecht entspricht.Das Bundesministerium für Umwelt, Naturschutz und nukleare Sicherheit kann im Einvernehmen mit dem Bundesministerium für Wirtschaft und Energie den jeweiligen Stand der Technik bekannt geben.</w:t>
      </w:r>
    </w:p>
    <w:p>
      <w:pPr>
        <w:ind w:left="420"/>
      </w:pPr>
      <w:r>
        <w:t xml:space="preserve">3.2.2.3 Für die Entnahme der Kraftstoffe sind dem Stand der Technik entsprechende, für die Entnahme von Kältemitteln geschlossene Systeme zu verwenden. Beim Umgang mit brennbaren Flüssigkeiten sind die einschlägigen Bestimmungen einzuhalten wie z. B. die Gefahrstoffverordnung, die Verordnung über brennbare Flüssigkeiten und Regelungen zum Explosionsschutz.</w:t>
      </w:r>
    </w:p>
    <w:p>
      <w:pPr>
        <w:ind w:left="420"/>
      </w:pPr>
      <w:r>
        <w:t xml:space="preserve">3.2.2.4 Die Tanklagerbefüllung und die Förderanlagen sind mit Sicherheitsverriegelungen auszustatten. Die Funktionsfähigkeit der vorgenannten Einrichtungen ist durch gesetzlich vorgeschriebene technische Gutachten nachzuweisen. Insbesondere für die Handhabung und Lagerung wassergefährdender Stoffe und von Gefahrstoffen sind Betriebsanweisungen für jeden Einzelstoff zu erstellen.</w:t>
      </w:r>
    </w:p>
    <w:p>
      <w:pPr>
        <w:ind w:left="420"/>
      </w:pPr>
      <w:r>
        <w:t xml:space="preserve">3.2.3 Demontage</w:t>
      </w:r>
    </w:p>
    <w:p>
      <w:pPr>
        <w:ind w:left="420"/>
      </w:pPr>
      <w:r>
        <w:t xml:space="preserve">3.2.3.1 Der Betrieb muss technisch, organisatorisch und personell in der Lage sein, diejenigen Kraftfahrzeugteile zerstörungsfrei auszubauen, die als ganze Bauteile oder Baugruppen wiederverwendet werden sollen.</w:t>
      </w:r>
    </w:p>
    <w:p>
      <w:pPr>
        <w:ind w:left="420"/>
      </w:pPr>
      <w:r>
        <w:t xml:space="preserve">3.2.3.2 Betreiber von Demontagebetrieben müssen vor der weiteren Behandlung folgende Stoffe, Materialien und Bauteile wegen ihres Schad- und Störstoffcharakters entfernen:</w:t>
      </w:r>
    </w:p>
    <w:p>
      <w:pPr>
        <w:ind w:left="780"/>
      </w:pPr>
      <w:r>
        <w:t xml:space="preserve">- den Latentwärmespeicher nach Vorgabe des Herstellers,</w:t>
      </w:r>
    </w:p>
    <w:p>
      <w:pPr>
        <w:ind w:left="780"/>
      </w:pPr>
      <w:r>
        <w:t xml:space="preserve">- Stoßdämpfer, wenn nicht trockengelegt,</w:t>
      </w:r>
    </w:p>
    <w:p>
      <w:pPr>
        <w:ind w:left="780"/>
      </w:pPr>
      <w:r>
        <w:t xml:space="preserve">- asbesthaltige Bauteile,</w:t>
      </w:r>
    </w:p>
    <w:p>
      <w:pPr>
        <w:ind w:left="780"/>
      </w:pPr>
      <w:r>
        <w:t xml:space="preserve">- quecksilberhaltige Bauteile wie z. B. Schalter, soweit durchführbar,</w:t>
      </w:r>
    </w:p>
    <w:p>
      <w:pPr>
        <w:ind w:left="780"/>
      </w:pPr>
      <w:r>
        <w:t xml:space="preserve">- nach Anhang II der Richtlinie 2000/53/EG des Europäischen Parlaments und des Rates vom 18. September 2000 über Altfahrzeuge (ABl. EG Nr. L 269 S. 34) in der jeweils geltenden Fassung gekennzeichnete Bauteile und Werkstoffe, die nach dem 1. Juli 2003 in Verkehr gebracht wurden,</w:t>
      </w:r>
    </w:p>
    <w:p>
      <w:pPr>
        <w:ind w:left="780"/>
      </w:pPr>
      <w:r>
        <w:t xml:space="preserve">- kraftfahrzeugfremde Stoffe.</w:t>
      </w:r>
    </w:p>
    <w:p>
      <w:pPr>
        <w:ind w:left="420"/>
      </w:pPr>
      <w:r>
        <w:t xml:space="preserve">Bei ausgebauten Stoßdämpfern, die nicht als Bauteile wiederverwendet werden, ist vor der Verwertung der metallischen Anteile die Trockenlegung sicherzustellen.</w:t>
      </w:r>
    </w:p>
    <w:p>
      <w:pPr>
        <w:ind w:left="420"/>
      </w:pPr>
      <w:r>
        <w:t xml:space="preserve">3.2.3.3 Betreiber von Demontagebetrieben müssen vor der Überlassung der Restkarosse an eine Schredderanlage oder eine sonstige Anlage zur weiteren Behandlung folgende Bauteile, Stoffe und Materialien entfernen und vorrangig der Wiederverwendung oder der stofflichen Verwertung zuführen:</w:t>
      </w:r>
    </w:p>
    <w:p>
      <w:pPr>
        <w:ind w:left="780"/>
      </w:pPr>
      <w:r>
        <w:t xml:space="preserve">- Katalysatoren,</w:t>
      </w:r>
    </w:p>
    <w:p>
      <w:pPr>
        <w:ind w:left="780"/>
      </w:pPr>
      <w:r>
        <w:t xml:space="preserve">- Auswuchtgewichte,</w:t>
      </w:r>
    </w:p>
    <w:p>
      <w:pPr>
        <w:ind w:left="780"/>
      </w:pPr>
      <w:r>
        <w:t xml:space="preserve">- Aluminiumfelgen,</w:t>
      </w:r>
    </w:p>
    <w:p>
      <w:pPr>
        <w:ind w:left="780"/>
      </w:pPr>
      <w:r>
        <w:t xml:space="preserve">- Front-, Heck- und Seitenscheiben sowie Glasdächer,</w:t>
      </w:r>
    </w:p>
    <w:p>
      <w:pPr>
        <w:ind w:left="780"/>
      </w:pPr>
      <w:r>
        <w:t xml:space="preserve">- Reifen,</w:t>
      </w:r>
    </w:p>
    <w:p>
      <w:pPr>
        <w:ind w:left="780"/>
      </w:pPr>
      <w:r>
        <w:t xml:space="preserve">- große Kunststoffbauteile wie z. B. Stoßfänger, Radkappen und Kühlergrille, wenn die entsprechenden Materialien beim oder nach dem Schreddern nicht in einer Weise getrennt werden, die eine stoffliche Verwertung ermöglicht,</w:t>
      </w:r>
    </w:p>
    <w:p>
      <w:pPr>
        <w:ind w:left="780"/>
      </w:pPr>
      <w:r>
        <w:t xml:space="preserve">- kupfer-, aluminium- und magnesiumhaltige Metallbauteile, wenn die entsprechenden Metalle nicht beim oder nach dem Schreddern getrennt werden.</w:t>
      </w:r>
    </w:p>
    <w:p>
      <w:pPr>
        <w:ind w:left="420"/>
      </w:pPr>
      <w:r>
        <w:t xml:space="preserve">3.2.4 Wiederverwendung, Verwertung und Beseitigung</w:t>
      </w:r>
    </w:p>
    <w:p>
      <w:pPr>
        <w:ind w:left="420"/>
      </w:pPr>
      <w:r>
        <w:t xml:space="preserve">3.2.4.1 Die aus dem Altfahrzeug gewonnenen Bauteile und Stoffe sind vorrangig einer Wiederverwendung oder Verwertung zuzuführen. Es ist dafür Sorge zu tragen, dass ein größtmöglicher Anteil der demontierten Bauteile der Wiederverwendung zugeführt wird. Bremsflüssigkeit, Hydraulikflüssigkeit, Kältemittel aus Klimaanlagen und Kühlerflüssigkeit sind, soweit technisch möglich und wirtschaftlich zumutbar, einer Verwertung zuzuführen. Altöle sind nach Maßgabe der einschlägigen Bestimmungen der Aufarbeitung oder sonstigen Entsorgung zuzuführen.Abfälle zur Verwertung und Abfälle zur Beseitigung sind in eindeutig gekennzeichneten Behältnissen getrennt zu lagern.Betreiber von Demontagebetrieben müssen vor der Überlassung der Restkarosse an eine Schredderanlage oder eine sonstige Anlage zur weiteren Behandlung spätestens ab dem 1. Januar 2006 Bauteile, Materialien und Betriebsflüssigkeiten mit einem Anteil von durchschnittlich mindestens 10 Gewichtsprozent im Jahresmittel bezogen auf die Summe der Fahrzeugleergewichte der angenommenen Altfahrzeuge ausbauen oder entfernen und der Wiederverwendung oder der stofflichen Verwertung zuführen und belegen, dass der entsprechende Anteil stofflich verwertet wurde. Metallische Bauteile und Materialien, wie z. B. Restkarossen, Kernschrott, Ersatzteile, und Kraftstoffe dürfen bei der Berechnung nach Satz 6 nicht in Ansatz gebracht werden. Batterien dürfen bei der Berechnung nach Satz 6 in Ansatz gebracht werden, wenn sie einem für die Verwertung dieser Abfälle zertifizierten Entsorgungsfachbetrieb überlassen wurden. Altreifen dürfen bei der Berechnung nach Satz 6 in Ansatz gebracht werden, wenn die stoffliche Verwertung in nachvollziehbarer Weise dokumentiert ist. Die Pflichten nach Satz 6 gelten nicht, soweit nachgewiesen wird, dass die Anforderungen an die stoffliche Verwertung gemäß § 5 Absatz 1 Satz 1 Nummer 2 Buchstabe b im Jahresmittel bezogen auf die Summe der Fahrzeugleergewichte der angenommenen Altfahrzeuge auf andere geeignete Weise erfüllt werden. In diesem Fall ist der Nachweis der Erfüllung der Pflichten nach Satz 6 von allen beteiligten Betrieben gemeinsam zu erbringen und durch einen Sachverständigen nach § 6 zu überprüfen.Für Bauteile ist zur Berechnung nach Satz 6 die Verwendung von Richtwerten oder Angaben der Hersteller zulässig.Die Anforderungen nach Satz 6 können auch durch mehrere Demontagebetriebe gemeinsam erfüllt werden. In diesem Fall ist der Nachweis der Erfüllung der Pflichten nach Satz 6 von allen beteiligten Betrieben gemeinsam zu erbringen und durch einen Sachverständigen nach § 6 zu überprüfen.</w:t>
      </w:r>
    </w:p>
    <w:p>
      <w:pPr>
        <w:ind w:left="420"/>
      </w:pPr>
      <w:r>
        <w:t xml:space="preserve">3.2.4.2 Nicht verwertbare Abfälle sind einer gemeinwohlverträglichen Beseitigung zuzuführen. Die Weitergabe von Abfall zur Beseitigung darf nur erfolgen, wenn der annehmende Betrieb eine entsprechende Zulassung nachweist.</w:t>
      </w:r>
    </w:p>
    <w:p>
      <w:pPr>
        <w:ind w:left="420"/>
      </w:pPr>
      <w:r>
        <w:t xml:space="preserve">3.2.4.3 Vorbehandelte und demontierte Altfahrzeuge können zum Transport mit dafür geeigneten Anlagen verdichtet werden, wenn keine Bauteilentnahme zur weiteren Verwendung oder Verwertung mehr erfolgt.Die Altfahrzeuge dürfen zur Volumenreduzierung nur auf der dafür vorgesehenen Fläche zur Verdichtung gestaucht oder in der sonst vorgesehenen Anlage (Paketierpresse, Schrottschere) behandelt werden.</w:t>
      </w:r>
    </w:p>
    <w:p>
      <w:pPr>
        <w:ind w:left="420"/>
      </w:pPr>
      <w:r>
        <w:t xml:space="preserve">3.3 Dokumentation</w:t>
      </w:r>
    </w:p>
    <w:p>
      <w:pPr>
        <w:ind w:left="420"/>
      </w:pPr>
      <w:r>
        <w:t xml:space="preserve">3.3.1 Betreiber von Demontagebetrieben haben entsprechend den allgemeinen Anforderungen nach Nummer 3.2.1.5 ein Betriebstagebuch über Erfassung, Trockenlegung, Demontage, Wiederverwendung, stoffliche und energetische Verwertung, thermische Behandlung und über den sonstigen Verbleib der Bauteile, der Materialien und Stoffe zu führen.</w:t>
      </w:r>
    </w:p>
    <w:p>
      <w:pPr>
        <w:ind w:left="420"/>
      </w:pPr>
      <w:r>
        <w:t xml:space="preserve">3.3.2 In diesem Betriebstagebuch sind alle für den Betrieb der Anlage wesentlichen Daten festzuhalten, die zur Transparenz und Nachvollziehbarkeit einer umweltverträglichen Altfahrzeugverwertung erforderlich sind. Sämtliche ein- und ausgehenden Mengenströme mit entsprechenden Entsorgungsnachweisen, Begleitscheinen, Anzeigen und Erlaubnissen zum Sammeln und Befördern von Abfällen und Übernahmescheinen sowie Betriebsstörungen, deren Ursache und daraus gezogene Konsequenzen müssen im Betriebstagebuch notiert werden.</w:t>
      </w:r>
    </w:p>
    <w:p>
      <w:pPr>
        <w:ind w:left="420"/>
      </w:pPr>
      <w:r>
        <w:t xml:space="preserve">3.3.3 Zu den erforderlichen Dokumentationspflichten gehören insbesondere</w:t>
      </w:r>
    </w:p>
    <w:p>
      <w:pPr>
        <w:ind w:left="780"/>
      </w:pPr>
      <w:r>
        <w:t xml:space="preserve">- chronologisch sortierte Durchschriften der Verwertungsnachweise sowie die jeweiligen Unterlagen nach § 7 Abs. 1 Satz 1,</w:t>
      </w:r>
    </w:p>
    <w:p>
      <w:pPr>
        <w:ind w:left="780"/>
      </w:pPr>
      <w:r>
        <w:t xml:space="preserve">- Bestand und Verbleib der entnommenen Stoffe, Materialien und Teile nach Art und Menge,</w:t>
      </w:r>
    </w:p>
    <w:p>
      <w:pPr>
        <w:ind w:left="780"/>
      </w:pPr>
      <w:r>
        <w:t xml:space="preserve">- Bilanzierung der Abfälle zur Verwertung und zur Beseitigung sowie Angaben über zur Wiederverwendung abgegebene Teile,</w:t>
      </w:r>
    </w:p>
    <w:p>
      <w:pPr>
        <w:ind w:left="780"/>
      </w:pPr>
      <w:r>
        <w:t xml:space="preserve">- Angaben zu Materialströmen aus anderen Betriebsteilen, die gemeinsam mit den Materialströmen aus der Entsorgung von Altfahrzeugen entsorgt werden,</w:t>
      </w:r>
    </w:p>
    <w:p>
      <w:pPr>
        <w:ind w:left="780"/>
      </w:pPr>
      <w:r>
        <w:t xml:space="preserve">- besondere Vorkommnisse und Betriebsstörungen, einschließlich der Ursachen und der durchgeführten Abhilfemaßnahmen.</w:t>
      </w:r>
    </w:p>
    <w:p>
      <w:pPr>
        <w:ind w:left="420"/>
      </w:pPr>
      <w:r>
        <w:t xml:space="preserve">4. Anforderungen an Schredderanlagen und sonstige Anlagen zur weiteren Behandlung</w:t>
      </w:r>
    </w:p>
    <w:p>
      <w:pPr>
        <w:ind w:left="420"/>
      </w:pPr>
      <w:r>
        <w:t xml:space="preserve">4.1 Allgemeines</w:t>
      </w:r>
    </w:p>
    <w:p>
      <w:pPr>
        <w:ind w:left="420"/>
      </w:pPr>
      <w:r>
        <w:t xml:space="preserve">4.1.1 Der Betreiber der Anlage muss im Geltungsbereich der Verordnung über die zum Errichten und zum Betrieb erforderliche Genehmigung nach dem Bundes-Immissionsschutzgesetz oder über die nach § 67 des Bundes-Immissionsschutzgesetzes erforderlichen Anzeigen verfügen und die einschlägigen rechtlichen Regelungen, insbesondere zum Umwelt- und Arbeitsschutz einhalten. Die Anlage ist so zu errichten, zu betreiben und zu unterhalten, dass die Anforderungen an die ordnungsgemäße und schadlose Verwertung sowie die gemeinwohlverträgliche Beseitigung von Abfällen eingehalten werden. Betreiber von Schredderanlagen dürfen Restkarossen nur annehmen und schreddern, wenn die Altfahrzeuge gemäß den Anforderungen nach Nummer 3.2.2.2 Satz 1 und 2, den Nummern 3.2.3.2 und 3.2.3.3 des Anhangs in anerkannten Demontagebetrieben behandelt wurden.</w:t>
      </w:r>
    </w:p>
    <w:p>
      <w:pPr>
        <w:ind w:left="420"/>
      </w:pPr>
      <w:r>
        <w:t xml:space="preserve">4.1.2 Betreiber von Schredderanlagen müssen, bezogen auf die Summe des Fahrzeugleergewichtes, vom nichtmetallischen Anteil der Schredderrückstände im Jahresmittel</w:t>
      </w:r>
    </w:p>
    <w:p>
      <w:pPr>
        <w:ind w:left="780"/>
      </w:pPr>
      <w:r>
        <w:t xml:space="preserve">a) ab dem 1. Januar 2006 5 Gewichtsprozent einer Verwertung und</w:t>
      </w:r>
    </w:p>
    <w:p>
      <w:pPr>
        <w:ind w:left="780"/>
      </w:pPr>
      <w:r>
        <w:t xml:space="preserve">b) ab dem 1. Januar 2015 5 Gewichtsprozent einer stofflichen Verwertung und weitere 10 Gewichtsprozent einer Verwertung zuführen und belegen, dass der entsprechende Anteil verwertet wurde. Die Summe des Fahrzeugleergewichtes wird ermittelt aus der Summe der Fahrzeugleergewichte, die in den Verwertungsnachweisen der einzelnen Restkarossen ausgewiesen sind, die in dem Bezugsjahr von einer Schredderanlage angenommen worden sind.</w:t>
      </w:r>
    </w:p>
    <w:p>
      <w:pPr>
        <w:ind w:left="420"/>
      </w:pPr>
      <w:r>
        <w:t xml:space="preserve">Wird die Schredderleichtfraktion einer qualifizierten Aufbereitung zugeführt, kann der Gewichtsanteil der dabei abgetrennten Metalle bei der Berechnung nach Satz 1 in Ansatz gebracht werden, wenn diese Metalle einer stofflichen Verwertung zugeführt werden.Die Anforderungen nach dieser Nummer können auch durch mehrere Schredderanlagen gemeinsam erfüllt werden. In diesem Fall ist der Nachweis der Erfüllung der Pflichten nach Satz 1 von allen beteiligten Betrieben gemeinsam zu erbringen und durch einen Sachverständigen nach § 6 zu überprüfen.</w:t>
      </w:r>
    </w:p>
    <w:p>
      <w:pPr>
        <w:ind w:left="420"/>
      </w:pPr>
      <w:r>
        <w:t xml:space="preserve">4.2 Dokumentation</w:t>
      </w:r>
    </w:p>
    <w:p>
      <w:pPr>
        <w:ind w:left="420"/>
      </w:pPr>
      <w:r>
        <w:t xml:space="preserve">4.2.1 Der Betreiber einer Schredderanlage hat entsprechend den allgemeinen Anforderungen nach Nummer 3.2.1.5 des Anhangs ein Betriebstagebuch über die Erfassung und Verarbeitung sowie über den sonstigen Verbleib der Material- und Stoffströme schriftlich zu führen.</w:t>
      </w:r>
    </w:p>
    <w:p>
      <w:pPr>
        <w:ind w:left="420"/>
      </w:pPr>
      <w:r>
        <w:t xml:space="preserve">4.2.2 In diesem Betriebstagebuch sind alle für den Betrieb der Anlage wesentlichen Daten festzuhalten, die zur Transparenz und Nachvollziehbarkeit eines umweltverträglichen Umgangs mit den angelieferten und bei der Behandlung entstandenen Abfällen erforderlich sind. Sämtliche ein- und ausgehenden Mengenströme sowie Betriebsstörungen, deren Ursachen und daraus gezogene Konsequenzen müssen im Betriebstagebuch nachprüfbar notiert werden.</w:t>
      </w:r>
    </w:p>
    <w:p>
      <w:pPr>
        <w:ind w:left="420"/>
      </w:pPr>
      <w:r>
        <w:t xml:space="preserve">4.3 Anforderungen an sonstige Anlagen zur weiteren BehandlungFür die Betreiber von sonstigen Anlagen zur weiteren Behandlung gelten die Anforderungen nach den Nummern 4.1 und 4.2 entsprechend. Darüber hinaus sind die Bestimmungen der Erlaubnis nach § 4 Abs. 4 Satz 2 einzuhalten.</w:t>
      </w:r>
    </w:p>
    <w:p>
      <w:pPr>
        <w:ind w:left="420"/>
      </w:pPr>
      <w:r>
        <w:t xml:space="preserve">5. AusnahmeregelungenAbweichungen von den in den Nummern 2 bis 4 festgelegten Anforderungen sind zulässig, wenn der Nachweis erbracht wird, dass durch andere geeignete Maßnahmen das Wohl der Allgemeinheit - gemessen an den Anforderungen dieser Verordnung - nicht beeinträchtigt wird. Über die Zulässigkeit von Abweichungen entscheidet die zuständige Behörde auf Antrag im Hinblick auf die Erteilung der Bescheinigung nach § 5 Abs. 3.</w:t>
      </w:r>
    </w:p>
    <w:p>
      <w:r>
        <w:t xml:space="preserve">* Zu beziehen bei Beuth-Verlag GmbH, Berlin.</w:t>
      </w:r>
    </w:p>
    <w:p>
      <w:r>
        <w:rPr>
          <w:color w:val="555555"/>
          <w:sz w:val="17"/>
        </w:rPr>
        <w:t xml:space="preserve">Zitiervorschlag: Anhang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https://recht.nulegal.eu/gesetze/AltautoV/anhang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