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AltautoV — Kennzeichnungsnormen und Demontageinformationen</w:t>
      </w:r>
    </w:p>
    <w:p>
      <w:r>
        <w:rPr>
          <w:color w:val="555555"/>
          <w:sz w:val="18"/>
        </w:rPr>
        <w:t xml:space="preserve">Altfahrzeug-Verordnung</w:t>
      </w:r>
    </w:p>
    <w:p>
      <w:r>
        <w:rPr>
          <w:color w:val="555555"/>
          <w:sz w:val="18"/>
        </w:rPr>
        <w:t xml:space="preserve">Stand: 01.01.2021 (konsolidierte Textfassung, kein amtliches Inkrafttretensdatum)</w:t>
      </w:r>
    </w:p>
    <w:p>
      <w:r>
        <w:t xml:space="preserve">(1) Die Hersteller von Fahrzeugen sind verpflichtet, in Absprache mit der Werkstoff- und Zulieferindustrie Kennzeichnungsnormen für Bauteile und Werkstoffe nach Festlegung durch die Europäische Kommission gemäß Artikel 8 Abs. 2 der Richtlinie 2000/53/EG des Europäischen Parlaments und des Rates vom 18. September 2000 über Altfahrzeuge (ABl. EG Nr. L 269 S. 34) zu verwenden, um insbesondere die Identifizierung derjenigen Bauteile und Werkstoffe zu erleichtern, die wiederverwendet oder verwertet werden können.</w:t>
      </w:r>
    </w:p>
    <w:p>
      <w:r>
        <w:t xml:space="preserve">(2) Die Hersteller von Fahrzeugen oder ihre Bevollmächtigten sind verpflichtet, für jeden in Verkehr gebrachten neuen Fahrzeugtyp binnen sechs Monaten nach Inverkehrbringen den anerkannten Demontagebetrieben Demontageinformationen bereitzustellen. In diesen Informationen sind insbesondere im Hinblick auf die Erreichung der Ziele gemäß § 5 die einzelnen Fahrzeugbauteile und -werkstoffe sowie die Stellen aufzuführen, an denen sich gefährliche Stoffe im Fahrzeug befinden, soweit dies für die Demontagebetriebe zur Einhaltung der Anforderungen nach dieser Verordnung erforderlich ist.</w:t>
      </w:r>
    </w:p>
    <w:p>
      <w:r>
        <w:t xml:space="preserve">(3) Unbeschadet der Wahrung der Geschäfts- und Betriebsgeheimnisse sind die Hersteller von Fahrzeugbauteilen verpflichtet, den anerkannten Demontagebetrieben auf Anforderung angemessene Informationen zur Demontage, Lagerung und Prüfung von wiederverwendbaren Teilen zur Verfügung zu stellen.</w:t>
      </w:r>
    </w:p>
    <w:p>
      <w:r>
        <w:rPr>
          <w:color w:val="555555"/>
          <w:sz w:val="17"/>
        </w:rPr>
        <w:t xml:space="preserve">Zitiervorschlag: § 9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