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AltautoV — Sachverständige</w:t>
      </w:r>
    </w:p>
    <w:p>
      <w:r>
        <w:rPr>
          <w:color w:val="555555"/>
          <w:sz w:val="18"/>
        </w:rPr>
        <w:t xml:space="preserve">Altfahrzeug-Verordnung</w:t>
      </w:r>
    </w:p>
    <w:p>
      <w:r>
        <w:rPr>
          <w:color w:val="555555"/>
          <w:sz w:val="18"/>
        </w:rPr>
        <w:t xml:space="preserve">Stand: 10.06.2019 (konsolidierte Textfassung, kein amtliches Inkrafttretensdatum)</w:t>
      </w:r>
    </w:p>
    <w:p>
      <w:r>
        <w:t xml:space="preserve">Bescheinigungen nach § 5 Absatz 3 Satz 1 darf nur erteilen, wer</w:t>
      </w:r>
    </w:p>
    <w:p>
      <w:pPr>
        <w:ind w:left="420"/>
      </w:pPr>
      <w:r>
        <w:t xml:space="preserve">1. nach § 36 der Gewerbeordnung öffentlich bestellt ist,</w:t>
      </w:r>
    </w:p>
    <w:p>
      <w:pPr>
        <w:ind w:left="420"/>
      </w:pPr>
      <w:r>
        <w:t xml:space="preserve">2. als Umweltgutachter oder Umweltgutachterorganisation auf Grund einer Zulassung nach den §§ 9 und 10 oder nach Maßgabe des § 18 des Umweltauditgesetzes in der Fassung der Bekanntmachung vom 4. September 2002 (BGBl. I S. 3490), das zuletzt durch Artikel 10 des Gesetzes vom 11. August 2010 (BGBl. I S. 1163) geändert worden ist, in der jeweils geltenden Fassung, in dem Bereich tätig werden darf, der näher bestimmt wird durch Anhang I Abschnitt E Gruppe 38.3 der Verordnung (EG) Nr. 1893/2006 des Europäischen Parlaments und des Rates vom 20. Dezember 2006 zur Aufstellung der statistischen Systematik der Wirtschaftszweige NACE Revision 2 und zur Änderung der Verordnung (EWG) Nr. 3037/90 des Rates sowie einiger Verordnungen der EG über bestimmte Bereiche der Statistik (ABl. L 393 vom 30.12.2006, S. 1), die zuletzt durch Verordnung (EG) Nr. 295/2008 (ABl. L 97 vom 9.4.2008, S. 13) geändert worden ist, in der jeweils geltenden Fassung, oder</w:t>
      </w:r>
    </w:p>
    <w:p>
      <w:pPr>
        <w:ind w:left="420"/>
      </w:pPr>
      <w:r>
        <w:t xml:space="preserve">3. in einem anderen Mitgliedstaat der Europäischen Union oder in einem anderen Vertragsstaat des Abkommens über den Europäischen Wirtschaftsraum niedergelassen ist, seine Tätigkeit im Inland nur vorübergehend und gelegentlich ausüben will und seine Berufsqualifikation vor Aufnahme der Tätigkeit entsprechend den §§ 13a und 13b der Gewerbeordnung hat nachprüfen lassen; Verfahren nach dieser Nummer können über eine einheitliche Stelle abgewickelt werden.</w:t>
      </w:r>
    </w:p>
    <w:p>
      <w:r>
        <w:rPr>
          <w:color w:val="555555"/>
          <w:sz w:val="17"/>
        </w:rPr>
        <w:t xml:space="preserve">Zitiervorschlag: § 6 AltautoV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https://recht.nulegal.eu/gesetze/AltautoV/6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