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AltautoV — Entsorgungspflichten</w:t>
      </w:r>
    </w:p>
    <w:p>
      <w:r>
        <w:rPr>
          <w:color w:val="555555"/>
          <w:sz w:val="18"/>
        </w:rPr>
        <w:t xml:space="preserve">Altfahrzeug-Verordnung</w:t>
      </w:r>
    </w:p>
    <w:p>
      <w:r>
        <w:rPr>
          <w:color w:val="555555"/>
          <w:sz w:val="18"/>
        </w:rPr>
        <w:t xml:space="preserve">Stand: 01.01.2021 (konsolidierte Textfassung, kein amtliches Inkrafttretensdatum)</w:t>
      </w:r>
    </w:p>
    <w:p>
      <w:r>
        <w:t xml:space="preserve">(1) Die Wirtschaftsbeteiligten stellen sicher, dass bezogen auf das durchschnittliche Fahrzeugleergewicht aller pro Jahr überlassenen Altfahrzeuge folgende Zielvorgaben erreicht werden:</w:t>
      </w:r>
    </w:p>
    <w:p>
      <w:pPr>
        <w:ind w:left="420"/>
      </w:pPr>
      <w:r>
        <w:t xml:space="preserve">1. spätestens ab 1. Januar 2006</w:t>
      </w:r>
    </w:p>
    <w:p>
      <w:pPr>
        <w:ind w:left="780"/>
      </w:pPr>
      <w:r>
        <w:t xml:space="preserve">a) Wiederverwendung und Verwertung mindestens 85 Gewichtsprozent,</w:t>
      </w:r>
    </w:p>
    <w:p>
      <w:pPr>
        <w:ind w:left="780"/>
      </w:pPr>
      <w:r>
        <w:t xml:space="preserve">b) Wiederverwendung und stoffliche Verwertung mindestens 80 Gewichtsprozent und</w:t>
      </w:r>
    </w:p>
    <w:p>
      <w:pPr>
        <w:ind w:left="420"/>
      </w:pPr>
      <w:r>
        <w:t xml:space="preserve">2. spätestens ab 1. Januar 2015</w:t>
      </w:r>
    </w:p>
    <w:p>
      <w:pPr>
        <w:ind w:left="780"/>
      </w:pPr>
      <w:r>
        <w:t xml:space="preserve">a) Wiederverwendung und Verwertung mindestens 95 Gewichtsprozent,</w:t>
      </w:r>
    </w:p>
    <w:p>
      <w:pPr>
        <w:ind w:left="780"/>
      </w:pPr>
      <w:r>
        <w:t xml:space="preserve">b) Wiederverwendung und stoffliche Verwertung mindestens 85 Gewichtsprozent.</w:t>
      </w:r>
    </w:p>
    <w:p>
      <w:r>
        <w:t xml:space="preserve">Die Hersteller von Fahrzeugen oder deren Bevollmächtigte veröffentlichen jährlich Daten über die Erreichung der Zielvorgaben nach Satz 1.</w:t>
      </w:r>
    </w:p>
    <w:p>
      <w:r>
        <w:t xml:space="preserve">(2) Betreiber von Annahmestellen, Rücknahmestellen, Demontagebetrieben, Schredderanlagen und sonstigen Anlagen zur weiteren Behandlung müssen die für sie jeweils geltenden Anforderungen des Anhangs erfüllen. Die in Satz 1 genannten Betreiber dürfen Altfahrzeuge oder Restkarossen nur annehmen oder behandeln, wenn die Betriebe im Sinne von § 2 Abs. 2 anerkannt sind.</w:t>
      </w:r>
    </w:p>
    <w:p>
      <w:r>
        <w:t xml:space="preserve">(3) Die Einhaltung der in Absatz 2 Satz 1 bezeichneten Anforderungen ist durch einen Sachverständigen (§ 6) zu bescheinigen. Die Bescheinigung darf nur erteilt werden, wenn die Anforderungen des Anhangs erfüllt werden. Die Bescheinigung gilt längstens für die Dauer von 18 Monaten. Die Bescheinigung ist durch den Sachverständigen zu entziehen, wenn er sich durch die mindestens jährlich durchzuführende Prüfung und Kontrolle der entsprechenden betriebsspezifischen Anforderungen des Anhangs davon überzeugt hat, dass die Voraussetzungen zur Erteilung der Bescheinigung auch nach einer von ihm gesetzten, drei Monate nicht überschreitenden Frist nicht erfüllt werden. Die Sätze 2 und 4 gelten nicht hinsichtlich der Erfüllung der Anforderungen nach Anhang Nummer 3.2.4.1 Abs. 3 und Nummer 4.1.2. Der Sachverständige hat die Entziehung der Bescheinigung sowie die Nichterfüllung der Anforderungen nach Anhang Nummer 3.2.4.1 Abs. 3 oder Nummer 4.1.2 unverzüglich der für den Betrieb zuständigen Überwachungsbehörde mitzuteilen. Bei Annahmestellen und Rücknahmestellen, die Kfz-Werkstätten sind, erfolgt die Bescheinigung durch die jeweils zuständige Kraftfahrzeug-Innung. Die Sätze 2 bis 6 gelten entsprechend für Kraftfahrzeug-Innungen. Bei der Überprüfung der Anforderungen sind Ergebnisse von Prüfungen zu berücksichtigen, die</w:t>
      </w:r>
    </w:p>
    <w:p>
      <w:pPr>
        <w:ind w:left="420"/>
      </w:pPr>
      <w:r>
        <w:t xml:space="preserve">1. durch einen unabhängigen Umweltgutachter oder eine Umweltgutachterorganisation gemäß Artikel 4 Abs. 3 der Verordnung (EWG) Nr. 1836/93 des Rates vom 29. Juni 1993 über die freiwillige Beteiligung gewerblicher Unternehmen an einem Gemeinschaftssystem für das Umweltmanagement und die Umweltbetriebsprüfung (ABl. EG Nr. L 168 S. 1) oder gemäß Artikel 3 Abs. 2 Buchstabe d und Abs. 3 Buchstabe a der Verordnung (EG) Nr. 761/2001 des Europäischen Parlaments und des Rates über die freiwillige Beteiligung von Organisationen an einem Gemeinschaftssystem für das Umweltmanagement und die Umweltbetriebsprüfung (ABl. EG Nr. L 114 S. 1),</w:t>
      </w:r>
    </w:p>
    <w:p>
      <w:pPr>
        <w:ind w:left="420"/>
      </w:pPr>
      <w:r>
        <w:t xml:space="preserve">2. durch eine nach DIN EN 45012 akkreditierte Stelle im Rahmen der Zertifizierung eines Qualitätsmanagements nach DIN EN ISO 9001 oder 9004 oder</w:t>
      </w:r>
    </w:p>
    <w:p>
      <w:pPr>
        <w:ind w:left="420"/>
      </w:pPr>
      <w:r>
        <w:t xml:space="preserve">3. auf Grund wasserrechtlicher Vorschriften durch Sachverständige im Rahmen der Überprüfung von Anlagen im Sinne von § 62 Absatz 1 des Wasserhaushaltsgesetzes vorgenommen worden sind.</w:t>
      </w:r>
    </w:p>
    <w:p>
      <w:r>
        <w:t xml:space="preserve">(4) Absatz 3 Satz 1 bis 6 gilt bei der Anerkennung gemäß § 2 Abs. 2 Nr. 2 entsprechend.</w:t>
      </w:r>
    </w:p>
    <w:p>
      <w:r>
        <w:t xml:space="preserve">(5) Das Bundesministerium für Umwelt, Naturschutz und nukleare Sicherheit kann im Einvernehmen mit dem Bundesministerium für Wirtschaft und Energie Empfehlungen zur einheitlichen Durchführung der Überprüfung bekanntgeben.</w:t>
      </w:r>
    </w:p>
    <w:p>
      <w:r>
        <w:rPr>
          <w:color w:val="555555"/>
          <w:sz w:val="17"/>
        </w:rPr>
        <w:t xml:space="preserve">Zitiervorschlag: § 5 AltautoV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https://recht.nulegal.eu/gesetze/AltautoV/5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