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10a AltautoV — Bevollmächtigung</w:t>
      </w:r>
    </w:p>
    <w:p>
      <w:r>
        <w:rPr>
          <w:color w:val="555555"/>
          <w:sz w:val="18"/>
        </w:rPr>
        <w:t xml:space="preserve">Altfahrzeug-Verordnung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Hersteller von Fahrzeugen, die keine Niederlassung im Geltungsbereich dieser Verordnung haben, können einen Bevollmächtigten mit der Wahrnehmung ihrer Pflichten nach § 3 Absatz 1, 3 und 5, § 5 Absatz 1 Satz 2, § 9 Absatz 2 und § 10 beauftragen. Die Aufgabenerfüllung durch den Bevollmächtigten erfolgt im eigenen Namen. Jeder Hersteller darf nur einen Bevollmächtigten beauftragen. Die Beauftragung nach Satz 1 hat schriftlich und in deutscher Sprache zu erfolgen.</w:t>
      </w:r>
    </w:p>
    <w:p>
      <w:r>
        <w:rPr>
          <w:color w:val="555555"/>
          <w:sz w:val="17"/>
        </w:rPr>
        <w:t xml:space="preserve">Zitiervorschlag: § 10a AltautoV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https://recht.nulegal.eu/gesetze/AltautoV/10a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