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AltautoV — Informationspflichten</w:t>
      </w:r>
    </w:p>
    <w:p>
      <w:r>
        <w:rPr>
          <w:color w:val="555555"/>
          <w:sz w:val="18"/>
        </w:rPr>
        <w:t xml:space="preserve">Altfahrzeug-Verordnung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Hersteller von Fahrzeugen oder deren Bevollmächtigte sind verpflichtet, in Zusammenarbeit mit den jeweiligen Wirtschaftsbeteiligten in geeigneter Weise Informationen zu veröffentlichen über</w:t>
      </w:r>
    </w:p>
    <w:p>
      <w:pPr>
        <w:ind w:left="420"/>
      </w:pPr>
      <w:r>
        <w:t xml:space="preserve">1. die verwertungs- und recyclinggerechte Konstruktion von Fahrzeugen und ihren Bauteilen;</w:t>
      </w:r>
    </w:p>
    <w:p>
      <w:pPr>
        <w:ind w:left="420"/>
      </w:pPr>
      <w:r>
        <w:t xml:space="preserve">2. die umweltverträgliche Behandlung von Altfahrzeugen, insbesondere die Entfernung aller Flüssigkeiten und die Demontage;</w:t>
      </w:r>
    </w:p>
    <w:p>
      <w:pPr>
        <w:ind w:left="420"/>
      </w:pPr>
      <w:r>
        <w:t xml:space="preserve">3. die Entwicklung und Optimierung von Möglichkeiten zur Wiederverwendung und zur stofflichen oder sonstigen Verwertung von Altfahrzeugen und ihren Bauteilen;</w:t>
      </w:r>
    </w:p>
    <w:p>
      <w:pPr>
        <w:ind w:left="420"/>
      </w:pPr>
      <w:r>
        <w:t xml:space="preserve">4. die bei der stofflichen und sonstigen Verwertung erzielten Fortschritte zur Verringerung des zu entsorgenden Abfalls und zur Erhöhung der Rate der stofflichen und sonstigen Verwertung.</w:t>
      </w:r>
    </w:p>
    <w:p>
      <w:r>
        <w:t xml:space="preserve">Die jeweiligen Wirtschaftsbeteiligten sind verpflichtet, den Herstellern oder deren Bevollmächtigten die entsprechenden Informationen zu den Nummern 2 bis 4 zur Verfügung zu stellen.</w:t>
      </w:r>
    </w:p>
    <w:p>
      <w:r>
        <w:t xml:space="preserve">(2) Der Hersteller von Fahrzeugen oder dessen Bevollmächtigter hat diese Informationen den potenziellen Fahrzeugkäufern zugänglich zu machen. Die Informationen sind in die Werbeschriften für das neue Fahrzeug aufzunehmen.</w:t>
      </w:r>
    </w:p>
    <w:p>
      <w:r>
        <w:rPr>
          <w:color w:val="555555"/>
          <w:sz w:val="17"/>
        </w:rPr>
        <w:t xml:space="preserve">Zitiervorschlag: § 10 AltautoV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https://recht.nulegal.eu/gesetze/AltautoV/10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