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AltZertG — Kostenstruktur</w:t>
      </w:r>
    </w:p>
    <w:p>
      <w:r>
        <w:rPr>
          <w:color w:val="555555"/>
          <w:sz w:val="18"/>
        </w:rPr>
        <w:t xml:space="preserve">Altersvorsorgeverträge-Zertifizierungsgesetz</w:t>
      </w:r>
    </w:p>
    <w:p>
      <w:r>
        <w:rPr>
          <w:color w:val="555555"/>
          <w:sz w:val="18"/>
        </w:rPr>
        <w:t xml:space="preserve">Stand: 07.11.2023 (konsolidierte Textfassung, kein amtliches Inkrafttretensdatum)</w:t>
      </w:r>
    </w:p>
    <w:p>
      <w:r>
        <w:t xml:space="preserve">Ein Altersvorsorgevertrag oder ein Basisrentenvertrag darf ausschließlich die nachfolgend genannten Kostenarten vorsehen:</w:t>
      </w:r>
    </w:p>
    <w:p>
      <w:pPr>
        <w:ind w:left="420"/>
      </w:pPr>
      <w:r>
        <w:t xml:space="preserve">1. Abschluss- und Vertriebskosten sowie Verwaltungskosten nebeneinander in den folgenden Formen:</w:t>
      </w:r>
    </w:p>
    <w:p>
      <w:pPr>
        <w:ind w:left="780"/>
      </w:pPr>
      <w:r>
        <w:t xml:space="preserve">a) als jährlich oder monatlich anfallende Kosten in Euro;</w:t>
      </w:r>
    </w:p>
    <w:p>
      <w:pPr>
        <w:ind w:left="780"/>
      </w:pPr>
      <w:r>
        <w:t xml:space="preserve">b) als Prozentsatz des gebildeten Kapitals;</w:t>
      </w:r>
    </w:p>
    <w:p>
      <w:pPr>
        <w:ind w:left="780"/>
      </w:pPr>
      <w:r>
        <w:t xml:space="preserve">c) als Prozentsatz der vereinbarten Bausparsumme oder des vereinbarten Darlehensbetrags;</w:t>
      </w:r>
    </w:p>
    <w:p>
      <w:pPr>
        <w:ind w:left="780"/>
      </w:pPr>
      <w:r>
        <w:t xml:space="preserve">d) als Prozentsatz der eingezahlten oder vereinbarten Beiträge oder Tilgungsleistungen;</w:t>
      </w:r>
    </w:p>
    <w:p>
      <w:pPr>
        <w:ind w:left="780"/>
      </w:pPr>
      <w:r>
        <w:t xml:space="preserve">e) als Prozentsatz des Stands des Wohnförderkontos;</w:t>
      </w:r>
    </w:p>
    <w:p>
      <w:pPr>
        <w:ind w:left="780"/>
      </w:pPr>
      <w:r>
        <w:t xml:space="preserve">f) ab Beginn der Auszahlungsphase als Prozentsatz der gezahlten Leistung;</w:t>
      </w:r>
    </w:p>
    <w:p>
      <w:pPr>
        <w:ind w:left="420"/>
      </w:pPr>
      <w:r>
        <w:t xml:space="preserve">2. folgende anlassbezogene Kosten:</w:t>
      </w:r>
    </w:p>
    <w:p>
      <w:pPr>
        <w:ind w:left="780"/>
      </w:pPr>
      <w:r>
        <w:t xml:space="preserve">a) für eine Vertragskündigung mit Vertragswechsel oder Auszahlung;</w:t>
      </w:r>
    </w:p>
    <w:p>
      <w:pPr>
        <w:ind w:left="780"/>
      </w:pPr>
      <w:r>
        <w:t xml:space="preserve">b) für eine Verwendung des gebildeten Kapitals im Sinne des § 92a des Einkommensteuergesetzes;</w:t>
      </w:r>
    </w:p>
    <w:p>
      <w:pPr>
        <w:ind w:left="780"/>
      </w:pPr>
      <w:r>
        <w:t xml:space="preserve">c) für Aufgaben im Zusammenhang mit dem Versorgungsausgleich des Vertragspartners.</w:t>
      </w:r>
    </w:p>
    <w:p>
      <w:r>
        <w:t xml:space="preserve">Von Satz 1 bleiben unberührt</w:t>
      </w:r>
    </w:p>
    <w:p>
      <w:pPr>
        <w:ind w:left="420"/>
      </w:pPr>
      <w:r>
        <w:t xml:space="preserve">1. gesetzliche Schadenersatzansprüche,</w:t>
      </w:r>
    </w:p>
    <w:p>
      <w:pPr>
        <w:ind w:left="420"/>
      </w:pPr>
      <w:r>
        <w:t xml:space="preserve">2. bei Altersvorsorgeverträgen in Form eines Darlehens und bei Altersvorsorgeverträgen im Sinne des § 1 Absatz 1a Satz 1 Nummer 3 die Kosten und die Gebühren nach § 16 Absatz 4 der Preisangabenverordnung sowie</w:t>
      </w:r>
    </w:p>
    <w:p>
      <w:pPr>
        <w:ind w:left="420"/>
      </w:pPr>
      <w:r>
        <w:t xml:space="preserve">3. Steuern, die der Anbieter für den Anleger einzubehalten und abzuführen hat.</w:t>
      </w:r>
    </w:p>
    <w:p>
      <w:r>
        <w:t xml:space="preserve">§ 125 des Investmentgesetzes ist für Altersvorsorgeverträge nicht anzuwenden.</w:t>
      </w:r>
    </w:p>
    <w:p>
      <w:r>
        <w:rPr>
          <w:color w:val="555555"/>
          <w:sz w:val="17"/>
        </w:rPr>
        <w:t xml:space="preserve">Zitiervorschlag: § 2a AltZertG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https://recht.nulegal.eu/gesetze/AltZertG/2a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