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AltZertG — Bußgeldvorschriften</w:t>
      </w:r>
    </w:p>
    <w:p>
      <w:r>
        <w:rPr>
          <w:color w:val="555555"/>
          <w:sz w:val="18"/>
        </w:rPr>
        <w:t xml:space="preserve">Altersvorsorgeverträge-Zertifizierungsgesetz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7 Absatz 1 Satz 1, § 7a Absatz 1 oder § 7b Absatz 1 Satz 1, jeweils auch in Verbindung mit einer Rechtsverordnung nach § 6 Satz 1, eine Information nicht, nicht richtig, nicht vollständig, nicht in der vorgeschriebenen Weise oder nicht rechtzeitig gibt,</w:t>
      </w:r>
    </w:p>
    <w:p>
      <w:pPr>
        <w:ind w:left="420"/>
      </w:pPr>
      <w:r>
        <w:t xml:space="preserve">2. entgegen § 7 Absatz 4 Satz 1, auch in Verbindung mit einer Rechtsverordnung nach § 6 Satz 1, ein Muster-Produktinformationsblatt nicht, nicht richtig, nicht vollständig, nicht in der vorgeschriebenen Weise oder nicht rechtzeitig erstellt oder</w:t>
      </w:r>
    </w:p>
    <w:p>
      <w:pPr>
        <w:ind w:left="420"/>
      </w:pPr>
      <w:r>
        <w:t xml:space="preserve">3. entgegen § 7c Satz 1 erster Halbsatz, auch in Verbindung mit einer Rechtsverordnung nach § 6 Satz 1, eine Anzeige nicht, nicht richtig, nicht vollständig, nicht in der vorgeschriebenen Weise oder nicht rechtzeitig erstattet.</w:t>
      </w:r>
    </w:p>
    <w:p>
      <w:r>
        <w:t xml:space="preserve">(2) Die Ordnungswidrigkeit kann in den Fällen des Absatzes 1 Nummer 2 mit einer Geldbuße bis zu zehntausend Euro und in den übrigen Fällen mit einer Geldbuße bis zu fünftausend Euro geahndet werden.</w:t>
      </w:r>
    </w:p>
    <w:p>
      <w:r>
        <w:t xml:space="preserve">(3) Verwaltungsbehörde im Sinne des § 36 Abs. 1 Nr. 1 des Gesetzes über Ordnungswidrigkeiten ist die Zertifizierungsstelle.</w:t>
      </w:r>
    </w:p>
    <w:p>
      <w:r>
        <w:rPr>
          <w:color w:val="555555"/>
          <w:sz w:val="17"/>
        </w:rPr>
        <w:t xml:space="preserve">Zitiervorschlag: § 13 AltZertG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https://recht.nulegal.eu/gesetze/AltZertG/13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