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AltTZG 1996 — Ausgleichskassen, gemeinsame Einrichtungen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die Leistungen nach § 3 Abs. 1 Nr. 1 auf Grund eines Tarifvertrages von einer Ausgleichskasse der Arbeitgeber erbracht oder dem Arbeitgeber erstattet, gewährt die Bundesagentur auf Antrag der Tarifvertragsparteien die Leistungen nach § 4 der Ausgleichskasse.</w:t>
      </w:r>
    </w:p>
    <w:p>
      <w:r>
        <w:t xml:space="preserve">(2) Für gemeinsame Einrichtungen der Tarifvertragsparteien gilt Absatz 1 entsprechend.</w:t>
      </w:r>
    </w:p>
    <w:p>
      <w:r>
        <w:rPr>
          <w:color w:val="555555"/>
          <w:sz w:val="17"/>
        </w:rPr>
        <w:t xml:space="preserve">Zitiervorschlag: § 9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