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AltTZG 1996 — Begriffsbestimmungen</w:t>
      </w:r>
    </w:p>
    <w:p>
      <w:r>
        <w:rPr>
          <w:color w:val="555555"/>
          <w:sz w:val="18"/>
        </w:rPr>
        <w:t xml:space="preserve">Altersteilzeitgesetz</w:t>
      </w:r>
    </w:p>
    <w:p>
      <w:r>
        <w:rPr>
          <w:color w:val="555555"/>
          <w:sz w:val="18"/>
        </w:rPr>
        <w:t xml:space="preserve">Stand: 10.06.2019 (konsolidierte Textfassung, kein amtliches Inkrafttretensdatum)</w:t>
      </w:r>
    </w:p>
    <w:p>
      <w:r>
        <w:t xml:space="preserve">(1) Das Regelarbeitsentgelt für die Altersteilzeitarbeit im Sinne dieses Gesetzes ist das auf einen Monat entfallende vom Arbeitgeber regelmäßig zu zahlende sozialversicherungspflichtige Arbeitsentgelt, soweit es die Beitragsbemessungsgrenze des Dritten Buches Sozialgesetzbuch nicht überschreitet. Entgeltbestandteile, die nicht laufend gezahlt werden, sind nicht berücksichtigungsfähig.</w:t>
      </w:r>
    </w:p>
    <w:p>
      <w:r>
        <w:t xml:space="preserve">(2) Als bisherige wöchentliche Arbeitszeit ist die wöchentliche Arbeitszeit zugrunde zu legen, die mit dem Arbeitnehmer vor dem Übergang in die Altersteilzeitarbeit vereinbart war. Zugrunde zu legen ist höchstens die Arbeitszeit, die im Durchschnitt der letzten 24 Monate vor dem Übergang in die Altersteilzeit vereinbart war. Die ermittelte durchschnittliche Arbeitszeit kann auf die nächste volle Stunde gerundet werden.</w:t>
      </w:r>
    </w:p>
    <w:p>
      <w:r>
        <w:t xml:space="preserve">(3) (weggefallen)</w:t>
      </w:r>
    </w:p>
    <w:p>
      <w:r>
        <w:rPr>
          <w:color w:val="555555"/>
          <w:sz w:val="17"/>
        </w:rPr>
        <w:t xml:space="preserve">Zitiervorschlag: § 6 AltTZG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https://recht.nulegal.eu/gesetze/AltTZG%201996/6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