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 AltTZG 1996 — Befristung der Förderungsfähigkeit</w:t>
      </w:r>
    </w:p>
    <w:p>
      <w:r>
        <w:rPr>
          <w:color w:val="555555"/>
          <w:sz w:val="18"/>
        </w:rPr>
        <w:t xml:space="preserve">Altersteilzeitgesetz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Für die Zeit ab dem 1. Januar 2010 sind Leistungen nach § 4 nur noch zu erbringen, wenn die Voraussetzungen des § 2 erstmals vor diesem Zeitpunkt vorgelegen haben.</w:t>
      </w:r>
    </w:p>
    <w:p>
      <w:r>
        <w:rPr>
          <w:color w:val="555555"/>
          <w:sz w:val="17"/>
        </w:rPr>
        <w:t xml:space="preserve">Zitiervorschlag: § 16 AltTZG 1996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https://recht.nulegal.eu/gesetze/AltTZG%201996/16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