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15e AltTZG 1996 — Übergangsregelung nach dem Gesetz zur Reform der Renten wegen verminderter Erwerbsfähigkeit</w:t>
      </w:r>
    </w:p>
    <w:p>
      <w:r>
        <w:rPr>
          <w:color w:val="555555"/>
          <w:sz w:val="18"/>
        </w:rPr>
        <w:t xml:space="preserve">Altersteilzeitgesetz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5 Abs. 1 Nr. 2 erlischt der Anspruch auf die Leistungen nach § 4 nicht, wenn mit der Altersteilzeit vor dem 17. November 2000 begonnen worden ist und Anspruch auf eine ungeminderte Rente wegen Alters besteht, weil die Voraussetzungen nach § 236a Satz 5 Nr. 1 des Sechsten Buches Sozialgesetzbuch vorliegen.</w:t>
      </w:r>
    </w:p>
    <w:p>
      <w:r>
        <w:rPr>
          <w:color w:val="555555"/>
          <w:sz w:val="17"/>
        </w:rPr>
        <w:t xml:space="preserve">Zitiervorschlag: § 15e AltTZG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https://recht.nulegal.eu/gesetze/AltTZG%201996/15e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