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15d AltTZG 1996 — Übergangsregelung zum Zweiten Gesetz zur Fortentwicklung der Altersteilzeit</w:t>
      </w:r>
    </w:p>
    <w:p>
      <w:r>
        <w:rPr>
          <w:color w:val="555555"/>
          <w:sz w:val="18"/>
        </w:rPr>
        <w:t xml:space="preserve">Altersteilzeitgesetz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eine Vereinbarung über Altersteilzeitarbeit vor dem 1. Juli 2000 abgeschlossen worden, gelten § 5 Abs. 2 Satz 2 und § 6 Abs. 2 Satz 2 in der bis zum 1. Juli 2000 geltenden Fassung. Sollen bei einer Vereinbarung nach Satz 1 Leistungen nach § 4 für einen Zeitraum von länger als fünf Jahren beansprucht werden, gilt § 5 Abs. 2 Satz 2 in der ab dem 1. Juli 2000 geltenden Fassung.</w:t>
      </w:r>
    </w:p>
    <w:p>
      <w:r>
        <w:rPr>
          <w:color w:val="555555"/>
          <w:sz w:val="17"/>
        </w:rPr>
        <w:t xml:space="preserve">Zitiervorschlag: § 15d AltTZG 1996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https://recht.nulegal.eu/gesetze/AltTZG%201996/15d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