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15c AltTZG 1996 — Übergangsregelung nach dem Gesetz zur Fortentwicklung der Altersteilzeit</w:t>
      </w:r>
    </w:p>
    <w:p>
      <w:r>
        <w:rPr>
          <w:color w:val="555555"/>
          <w:sz w:val="18"/>
        </w:rPr>
        <w:t xml:space="preserve">Altersteilzeitgesetz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Vereinbarung über Altersteilzeitarbeit vor dem 1. Januar 2000 abgeschlossen worden, erbringt die Bundesagentur die Leistungen nach § 4 auch dann, wenn die Voraussetzungen des § 2 Abs. 1 Nr. 2 und 3 in der bis zum 1. Januar 2000 geltenden Fassung vorliegen.</w:t>
      </w:r>
    </w:p>
    <w:p>
      <w:r>
        <w:rPr>
          <w:color w:val="555555"/>
          <w:sz w:val="17"/>
        </w:rPr>
        <w:t xml:space="preserve">Zitiervorschlag: § 15c AltTZG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https://recht.nulegal.eu/gesetze/AltTZG%201996/15c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