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15b AltTZG 1996 — Übergangsregelung nach dem Gesetz zur Reform der gesetzlichen Rentenversicherung</w:t>
      </w:r>
    </w:p>
    <w:p>
      <w:r>
        <w:rPr>
          <w:color w:val="555555"/>
          <w:sz w:val="18"/>
        </w:rPr>
        <w:t xml:space="preserve">Altersteilzeitgesetz</w:t>
      </w:r>
    </w:p>
    <w:p>
      <w:r>
        <w:rPr>
          <w:color w:val="555555"/>
          <w:sz w:val="18"/>
        </w:rPr>
        <w:t xml:space="preserve">Stand: 10.06.2019 (konsolidierte Textfassung, kein amtliches Inkrafttretensdatum)</w:t>
      </w:r>
    </w:p>
    <w:p>
      <w:r>
        <w:t xml:space="preserve">Abweichend von § 5 Abs. 1 Nr. 2 erlischt der Anspruch auf die Leistungen nach § 4 nicht, wenn mit der Altersteilzeit vor dem 1. Juli 1998 begonnen worden ist und Anspruch auf eine ungeminderte Rente wegen Alters besteht, weil 45 Jahre mit Pflichtbeiträgen für eine versicherte Beschäftigung oder Tätigkeit vorliegen.</w:t>
      </w:r>
    </w:p>
    <w:p>
      <w:r>
        <w:rPr>
          <w:color w:val="555555"/>
          <w:sz w:val="17"/>
        </w:rPr>
        <w:t xml:space="preserve">Zitiervorschlag: § 15b AltTZG 1996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https://recht.nulegal.eu/gesetze/AltTZG%201996/15b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