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AltTZG 1996 — Bußgeldvorschriften</w:t>
      </w:r>
    </w:p>
    <w:p>
      <w:r>
        <w:rPr>
          <w:color w:val="555555"/>
          <w:sz w:val="18"/>
        </w:rPr>
        <w:t xml:space="preserve">Altersteilzeitgesetz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11 Abs. 1 oder als Arbeitgeber entgegen § 60 Abs. 1 Nr. 2 des Ersten Buches Sozialgesetzbuch eine Mitteilung nicht, nicht richtig, nicht vollständig oder nicht rechtzeitig macht,</w:t>
      </w:r>
    </w:p>
    <w:p>
      <w:pPr>
        <w:ind w:left="420"/>
      </w:pPr>
      <w:r>
        <w:t xml:space="preserve">2. entgegen § 13 Satz 1 in Verbindung mit § 315 Abs. 1, 2 Satz 1, Abs. 3 oder 5 Satz 1 und 2 des Dritten Buches Sozialgesetzbuch eine Auskunft nicht, nicht richtig, nicht vollständig oder nicht rechtzeitig erteilt,</w:t>
      </w:r>
    </w:p>
    <w:p>
      <w:pPr>
        <w:ind w:left="420"/>
      </w:pPr>
      <w:r>
        <w:t xml:space="preserve">3. entgegen § 13 Satz 1 in Verbindung mit § 319 Abs. 1 Satz 1 des Dritten Buches Sozialgesetzbuch Einsicht oder Zutritt nicht gewährt oder</w:t>
      </w:r>
    </w:p>
    <w:p>
      <w:pPr>
        <w:ind w:left="420"/>
      </w:pPr>
      <w:r>
        <w:t xml:space="preserve">4. entgegen § 13 Satz 1 in Verbindung mit § 319 Abs. 2 Satz 1 des Dritten Buches Sozialgesetzbuch Daten nicht, nicht richtig, nicht vollständig, nicht in der vorgeschriebenen Weise oder nicht rechtzeitig zur Verfügung stellt.</w:t>
      </w:r>
    </w:p>
    <w:p>
      <w:r>
        <w:t xml:space="preserve">(2) Die Ordnungswidrigkeit kann in den Fällen des Absatzes 1 Nr. 4 mit einer Geldbuße bis zu dreißigtausend Euro, in den übrigen Fällen mit einer Geldbuße bis zu tausend Euro geahndet werden.</w:t>
      </w:r>
    </w:p>
    <w:p>
      <w:r>
        <w:t xml:space="preserve">(3) Verwaltungsbehörden im Sinne des § 36 Abs. 1 Nr. 1 des Gesetzes über Ordnungswidrigkeiten sind die Agenturen für Arbeit.</w:t>
      </w:r>
    </w:p>
    <w:p>
      <w:r>
        <w:t xml:space="preserve">(4) Die Geldbußen fließen in die Kasse der Bundesagentur. § 66 des Zehnten Buches Sozialgesetzbuch gilt entsprechend.</w:t>
      </w:r>
    </w:p>
    <w:p>
      <w:r>
        <w:t xml:space="preserve">(5) Die notwendigen Auslagen trägt abweichend von § 105 Abs. 2 des Gesetzes über Ordnungswidrigkeiten die Bundesagentur; diese ist auch ersatzpflichtig im Sinne des § 110 Abs. 4 des Gesetzes über Ordnungswidrigkeiten.</w:t>
      </w:r>
    </w:p>
    <w:p>
      <w:r>
        <w:rPr>
          <w:color w:val="555555"/>
          <w:sz w:val="17"/>
        </w:rPr>
        <w:t xml:space="preserve">Zitiervorschlag: § 14 AltTZG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https://recht.nulegal.eu/gesetze/AltTZG%201996/14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