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AltTZG 1996 — Auskünfte und Prüfung</w:t>
      </w:r>
    </w:p>
    <w:p>
      <w:r>
        <w:rPr>
          <w:color w:val="555555"/>
          <w:sz w:val="18"/>
        </w:rPr>
        <w:t xml:space="preserve">Altersteilzeitgesetz</w:t>
      </w:r>
    </w:p>
    <w:p>
      <w:r>
        <w:rPr>
          <w:color w:val="555555"/>
          <w:sz w:val="18"/>
        </w:rPr>
        <w:t xml:space="preserve">Stand: 24.07.2019 (konsolidierte Textfassung, kein amtliches Inkrafttretensdatum)</w:t>
      </w:r>
    </w:p>
    <w:p>
      <w:r>
        <w:t xml:space="preserve">Die §§ 315 und 319 des Dritten Buches und das Zweite Kapitel des Zehnten Buches Sozialgesetzbuch gelten entsprechend. § 2 Abs. 1 Satz 1 Nummer 3 des Schwarzarbeitsbekämpfungsgesetzes bleibt unberührt.</w:t>
      </w:r>
    </w:p>
    <w:p>
      <w:r>
        <w:rPr>
          <w:color w:val="555555"/>
          <w:sz w:val="17"/>
        </w:rPr>
        <w:t xml:space="preserve">Zitiervorschlag: § 13 AltTZG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https://recht.nulegal.eu/gesetze/AltTZG%201996/13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