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AltSchG — Ermächtigung zum Erlass von Vorschriften über zusätzliche Entlastung (Härtefallregelung)</w:t>
      </w:r>
    </w:p>
    <w:p>
      <w:r>
        <w:rPr>
          <w:color w:val="555555"/>
          <w:sz w:val="18"/>
        </w:rPr>
        <w:t xml:space="preserve">Altschuldenhilfe-Gesetz</w:t>
      </w:r>
    </w:p>
    <w:p>
      <w:r>
        <w:rPr>
          <w:color w:val="555555"/>
          <w:sz w:val="18"/>
        </w:rPr>
        <w:t xml:space="preserve">Stand: 10.06.2019 (konsolidierte Textfassung, kein amtliches Inkrafttretensdatum)</w:t>
      </w:r>
    </w:p>
    <w:p>
      <w:r>
        <w:t xml:space="preserve">Die Bundesregierung wird ermächtigt, durch Rechtsverordnung die näheren Voraussetzungen für eine zusätzliche Entlastung von Altverbindlichkeiten und hierauf beruhender Verbindlichkeiten für Wohnungsunternehmen nach § 2 Abs. 1 Nr. 1 und 3 festzulegen, die infolge erheblichen dauerhaften Leerstandes in ihrer wirtschaftlichen Existenz gefährdet sind und Altschuldenhilfe nach § 4 oder § 7 erhalten haben. Die Entlastung berechnet sich nach dem Umfang der Wohnraumverminderung, der im Rahmen eines tragfähigen Sanierungskonzeptes für das Unternehmen erreicht wird. Voraussetzung für die Gewährung ist, dass sich das Land an dem Sanierungskonzept in mindestens der Höhe der Entlastung durch den Bund beteiligt.</w:t>
      </w:r>
    </w:p>
    <w:p>
      <w:r>
        <w:rPr>
          <w:color w:val="555555"/>
          <w:sz w:val="17"/>
        </w:rPr>
        <w:t xml:space="preserve">Zitiervorschlag: § 6a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