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AltSchG — Ermächtigung</w:t>
      </w:r>
    </w:p>
    <w:p>
      <w:r>
        <w:rPr>
          <w:color w:val="555555"/>
          <w:sz w:val="18"/>
        </w:rPr>
        <w:t xml:space="preserve">Altschuldenhilfe-Gesetz</w:t>
      </w:r>
    </w:p>
    <w:p>
      <w:r>
        <w:rPr>
          <w:color w:val="555555"/>
          <w:sz w:val="18"/>
        </w:rPr>
        <w:t xml:space="preserve">Stand: 01.07.2020 (konsolidierte Textfassung, kein amtliches Inkrafttretensdatum)</w:t>
      </w:r>
    </w:p>
    <w:p>
      <w:r>
        <w:t xml:space="preserve">(1) Das Bundesministerium des Innern, für Bau und Heimat wird ermächtigt, im Einvernehmen mit dem Bundesministerium der Finanzen durch Rechtsverordnung mit Zustimmung des Bundesrates Vorschriften über Einzelheiten der Ermittlung der Höhe des Teilentlastungsbetrages nach § 4, der Zinshilfe nach § 7, der Abführung von Erlösen nach § 5 sowie der Anordnung und Festsetzung von Erstattungsansprüchen nach § 4 Abs. 7 und § 5 Abs. 3 zu erlassen.</w:t>
      </w:r>
    </w:p>
    <w:p>
      <w:r>
        <w:t xml:space="preserve">(2) Die Länder werden ermächtigt, durch landesrechtliche Vorschriften für die Zeit nach dem Außerkrafttreten des Belegungsrechtsgesetzes Vorschriften über Belegungsbindungen für Wohnungen der Wohnungsunternehmen zu erlassen, denen Altschuldenhilfen (§§ 4 und 7) gewährt werden. Dabei sind nähere Vorschriften zu erlassen über</w:t>
      </w:r>
    </w:p>
    <w:p>
      <w:pPr>
        <w:ind w:left="420"/>
      </w:pPr>
      <w:r>
        <w:t xml:space="preserve">1. die Geltung während der Zeit vom 1. Januar 1996 bis 31. Dezember 2003, längstens bis 31. Dezember 2013,</w:t>
      </w:r>
    </w:p>
    <w:p>
      <w:pPr>
        <w:ind w:left="420"/>
      </w:pPr>
      <w:r>
        <w:t xml:space="preserve">2. die Festlegung eines nach den jeweiligen örtlichen Wohnungsmarktverhältnissen zur angemessenen Versorgung der Bevölkerung erforderlichen Anteils von bis zu 50 vom Hundert der Wohnungen nach Satz 1,</w:t>
      </w:r>
    </w:p>
    <w:p>
      <w:pPr>
        <w:ind w:left="420"/>
      </w:pPr>
      <w:r>
        <w:t xml:space="preserve">3. die entsprechende Anwendung der §§ 2 bis 7, 12, 18, 19 bis 21, 24 bis 27 und 29 des Wohnungsbindungsgesetzes,</w:t>
      </w:r>
    </w:p>
    <w:p>
      <w:pPr>
        <w:ind w:left="420"/>
      </w:pPr>
      <w:r>
        <w:t xml:space="preserve">4. eine zulässige Überschreitung der in § 25 Abs. 1 des Zweiten Wohnungsbaugesetzes bestimmten Einkommensgrenzen um bis zu 60 vom Hundert; für die Ermittlung des Gesamteinkommens sind die §§ 25 bis 25d des Zweitens Wohnungsbaugesetzes anzuwenden, jedoch erhöhen sich die Freibeträge nach § 25d Abs. 1 des Zweiten Wohnungsbaugesetzes um 60 vom Hundert.</w:t>
      </w:r>
    </w:p>
    <w:p>
      <w:r>
        <w:t xml:space="preserve">Den Belegungsbindungen unterliegen nicht die nach § 5 privatisierten oder veräußerten und die nach dem Vermögensgesetz rückgegebenen oder rückübertragenen Wohnungen.</w:t>
      </w:r>
    </w:p>
    <w:p>
      <w:r>
        <w:rPr>
          <w:color w:val="555555"/>
          <w:sz w:val="17"/>
        </w:rPr>
        <w:t xml:space="preserve">Zitiervorschlag: § 12 AltSchG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https://recht.nulegal.eu/gesetze/AltSchG/12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