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AltPflHilfeAPrV (Brandenburg) — Versäumnisfolgen, Unterbrechung der Prüfung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Versäumt eine Schülerin oder ein Schüler einen Prüfungstermin oder unterbricht die Prüfung, so gilt die Prüfung als nicht bestanden, wenn nicht ein wichtiger Grund vorliegt. § 8 Absatz 3 gilt entsprechend. Liegt ein wichtiger Grund vor, so gilt die Prüfung oder der betreffende Teil der Prüfung als nicht unternommen.</w:t>
      </w:r>
    </w:p>
    <w:p>
      <w:r>
        <w:t xml:space="preserve">(2) Die Entscheidung darüber, ob ein wichtiger Grund vorliegt, trifft das vorsitzende Mitglied des Prüfungsausschusses. § 9 Absatz 1 Satz 1 und 4 gilt entsprechend.</w:t>
      </w:r>
    </w:p>
    <w:p>
      <w:r>
        <w:rPr>
          <w:color w:val="555555"/>
          <w:sz w:val="17"/>
        </w:rPr>
        <w:t xml:space="preserve">Zitiervorschlag: § 10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