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die sofort vollziehbar oder unanfechtbar sind,</w:t>
      </w:r>
    </w:p>
    <w:p>
      <w:pPr>
        <w:ind w:left="420"/>
      </w:pPr>
      <w:r>
        <w:t xml:space="preserve">2. den Verzicht auf die Erlaubnis,</w:t>
      </w:r>
    </w:p>
    <w:p>
      <w:pPr>
        <w:ind w:left="420"/>
      </w:pPr>
      <w:r>
        <w:t xml:space="preserve">3. das Verbot der Ausübung des Berufs der Altenpflegerin und des Altenpflegers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