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AltPflG</w:t>
      </w:r>
    </w:p>
    <w:p>
      <w:r>
        <w:rPr>
          <w:color w:val="555555"/>
          <w:sz w:val="18"/>
        </w:rPr>
        <w:t xml:space="preserve">Altenpflegegesetz</w:t>
      </w:r>
    </w:p>
    <w:p>
      <w:r>
        <w:rPr>
          <w:color w:val="555555"/>
          <w:sz w:val="18"/>
        </w:rPr>
        <w:t xml:space="preserve">Historische Fassung: Stand 10.06.2019 bis 02.01.2020. Dies ist nicht die aktuelle Fassung.</w:t>
      </w:r>
    </w:p>
    <w:p>
      <w:r>
        <w:t xml:space="preserve">(1) Eine vor Inkrafttreten dieses Gesetzes nach landesrechtlichen Vorschriften erteilte Anerkennung als staatlich anerkannte Altenpflegerin oder staatlich anerkannter Altenpfleger gilt als Erlaubnis nach § 1. Das im Lande Bremen nach den Richtlinien über die Ausbildung und die Abschlussprüfung an privaten Fachschulen für Altenpfleger vom 29. August 1979 (Amtsblatt der Freien Hansestadt Bremen 1979, S. 545) ausgestellte Abschlusszeugnis gilt ebenfalls als Erlaubnis nach § 1.</w:t>
      </w:r>
    </w:p>
    <w:p>
      <w:r>
        <w:t xml:space="preserve">(2) Eine vor Inkrafttreten dieses Gesetzes begonnene Ausbildung zur staatlich anerkannten Altenpflegerin oder zum staatlich anerkannten Altenpfleger wird nach den bisherigen landesrechtlichen Vorschriften abgeschlossen. Nach Abschluss der Ausbildung erhält die antragstellende Person, wenn die Voraussetzungen des § 2 Abs. 1 Nr. 2 und 3 vorliegen, eine Erlaubnis nach § 1.</w:t>
      </w:r>
    </w:p>
    <w:p>
      <w:r>
        <w:rPr>
          <w:color w:val="555555"/>
          <w:sz w:val="17"/>
        </w:rPr>
        <w:t xml:space="preserve">Zitiervorschlag: § 29 AltPflG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