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27 AltPflG</w:t>
      </w:r>
    </w:p>
    <w:p>
      <w:r>
        <w:rPr>
          <w:color w:val="555555"/>
          <w:sz w:val="18"/>
        </w:rPr>
        <w:t xml:space="preserve">Altenpflegegesetz</w:t>
      </w:r>
    </w:p>
    <w:p>
      <w:r>
        <w:rPr>
          <w:color w:val="555555"/>
          <w:sz w:val="18"/>
        </w:rPr>
        <w:t xml:space="preserve">Historische Fassung: Stand 10.06.2019 bis 02.01.2020. Dies ist nicht die aktuelle Fassung.</w:t>
      </w:r>
    </w:p>
    <w:p>
      <w:r>
        <w:t xml:space="preserve">(1) Ordnungswidrig handelt, wer ohne Erlaubnis nach § 1 die Berufsbezeichnung "Altenpflegerin" oder "Altenpfleger" führt.</w:t>
      </w:r>
    </w:p>
    <w:p>
      <w:r>
        <w:t xml:space="preserve">(2) Die Ordnungswidrigkeit kann mit einer Geldbuße bis zu dreitausend Euro geahndet werden.</w:t>
      </w:r>
    </w:p>
    <w:p>
      <w:r>
        <w:rPr>
          <w:color w:val="555555"/>
          <w:sz w:val="17"/>
        </w:rPr>
        <w:t xml:space="preserve">Zitiervorschlag: § 27 AltPflG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https://recht.nulegal.eu/gesetze/AltPflG/27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