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Der Träger der praktischen Ausbildung kann die Kosten der Ausbildungsvergütung sowie die von ihm nach § 17 Abs. 1a zu erstattenden Weiterbildungskosten in den Entgelten oder Vergütungen für seine Leistungen berücksichtigen. Ausgenommen sind:</w:t>
      </w:r>
    </w:p>
    <w:p>
      <w:pPr>
        <w:ind w:left="420"/>
      </w:pPr>
      <w:r>
        <w:t xml:space="preserve">1. die Aufwendungen für die Vorhaltung, Instandsetzung oder Instandhaltung von Ausbildungsstätten,</w:t>
      </w:r>
    </w:p>
    <w:p>
      <w:pPr>
        <w:ind w:left="420"/>
      </w:pPr>
      <w:r>
        <w:t xml:space="preserve">2. die laufenden Betriebskosten (Personal- und Sachkosten) der Ausbildungsstätten sowie</w:t>
      </w:r>
    </w:p>
    <w:p>
      <w:pPr>
        <w:ind w:left="420"/>
      </w:pPr>
      <w:r>
        <w:t xml:space="preserve">3. die Verwaltungskosten für ein Ausgleichsverfahren nach § 25.</w:t>
      </w:r>
    </w:p>
    <w:p>
      <w:r>
        <w:t xml:space="preserve">Bei Einrichtungen, die zur ambulanten, teil- oder vollstationären Versorgung von Pflegebedürftigen nach dem Elften Buch Sozialgesetzbuch zugelassen sind (zugelassene Pflegeeinrichtungen), sowie bei Einrichtungen mit Vereinbarungen nach § 75 Abs. 3 des Zwölften Buches Sozialgesetzbuch richtet sich die Berücksichtigung der Kosten der Ausbildungsvergütung und der nach § 17 Abs. 1a zu erstattenden Weiterbildungskosten einschließlich einer Ausbildungsumlage (§ 25) in den Vergütungen ausschließlich nach diesen Gesetzen.</w:t>
      </w:r>
    </w:p>
    <w:p>
      <w:r>
        <w:rPr>
          <w:color w:val="555555"/>
          <w:sz w:val="17"/>
        </w:rPr>
        <w:t xml:space="preserve">Zitiervorschlag: § 24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