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AltPflG</w:t>
      </w:r>
    </w:p>
    <w:p>
      <w:r>
        <w:rPr>
          <w:color w:val="555555"/>
          <w:sz w:val="18"/>
        </w:rPr>
        <w:t xml:space="preserve">Altenpflegegesetz</w:t>
      </w:r>
    </w:p>
    <w:p>
      <w:r>
        <w:rPr>
          <w:color w:val="555555"/>
          <w:sz w:val="18"/>
        </w:rPr>
        <w:t xml:space="preserve">Historische Fassung: Stand 10.06.2019 bis 02.01.2020. Dies ist nicht die aktuelle Fassung.</w:t>
      </w:r>
    </w:p>
    <w:p>
      <w:r>
        <w:t xml:space="preserve">Eine Vereinbarung, die zu Ungunsten der Schülerin oder des Schülers von den Vorschriften des Abschnitts 4 dieses Gesetzes abweicht, ist nichtig.</w:t>
      </w:r>
    </w:p>
    <w:p>
      <w:r>
        <w:rPr>
          <w:color w:val="555555"/>
          <w:sz w:val="17"/>
        </w:rPr>
        <w:t xml:space="preserve">Zitiervorschlag: § 22 AltPflG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https://recht.nulegal.eu/gesetze/AltPflG/22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