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Der Träger der praktischen Ausbildung hat der Schülerin oder dem Schüler für die gesamte Dauer der Ausbildung eine angemessene Ausbildungsvergütung zu zahlen, soweit nicht bei beruflicher Weiterbildung Ansprüche auf Arbeitslosengeld nach dem Dritten Buch Sozialgesetzbuch, auf Arbeitslosengeld II nach dem Zweiten Buch Sozialgesetzbuch oder auf Übergangsgeld nach den für die Leistungen zur Teilhabe am Arbeitsleben geltenden Vorschriften bestehen.</w:t>
      </w:r>
    </w:p>
    <w:p>
      <w:r>
        <w:t xml:space="preserve">(1a) Im dritten Ausbildungsjahr einer Weiterbildung zur Altenpflegerin oder zum Altenpfleger, die nach dem 31. Dezember 2005 beginnt, hat der Träger der praktischen Ausbildung der Schülerin oder dem Schüler über die Ausbildungsvergütung hinaus die Weiterbildungskosten entsprechend § 83 Absatz 1 Nummer 2 bis 4 des Dritten Buches Sozialgesetzbuch zu erstatten, sofern diese im dritten Ausbildungsjahr anfallen.</w:t>
      </w:r>
    </w:p>
    <w:p>
      <w:r>
        <w:t xml:space="preserve">(2) Sachbezüge können in der Höhe der durch Rechtsverordnung nach § 17 Abs. 1 Satz 1 Nr. 3 des Vierten Buches Sozialgesetzbuch bestimmten Werte angerechnet werden, jedoch nicht über 75 vom Hundert der Bruttovergütung hinaus. Können die Sachbezüge während der Zeit, für welche die Ausbildungsvergütung fortzuzahlen ist, aus berechtigtem Grund nicht abgenommen werden, so sind sie nach den Sachbezugswerten abzugelten.</w:t>
      </w:r>
    </w:p>
    <w:p>
      <w:r>
        <w:t xml:space="preserve">(3) Eine über die vereinbarte regelmäßige tägliche oder wöchentliche Ausbildungszeit hinausgehende Beschäftigung ist nur ausnahmsweise zulässig und besonders zu vergüten.</w:t>
      </w:r>
    </w:p>
    <w:p>
      <w:r>
        <w:rPr>
          <w:color w:val="555555"/>
          <w:sz w:val="17"/>
        </w:rPr>
        <w:t xml:space="preserve">Zitiervorschlag: § 17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