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AltPflG NRW (Nordrhein-Westfalen) — Inkrafttreten, Außerkrafttreten</w:t>
      </w:r>
    </w:p>
    <w:p>
      <w:r>
        <w:rPr>
          <w:color w:val="555555"/>
          <w:sz w:val="18"/>
        </w:rPr>
        <w:t xml:space="preserve">Landesaltenpflegegesetz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August 2006 in Kraft und am 31. Dezember 2026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Für den</w:t>
      </w:r>
    </w:p>
    <w:p>
      <w:r>
        <w:t xml:space="preserve">Minister</w:t>
      </w:r>
    </w:p>
    <w:p>
      <w:r>
        <w:t xml:space="preserve">für Arbeit, Gesundheit und Soziales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Die Justizministerin</w:t>
      </w:r>
    </w:p>
    <w:p>
      <w:r>
        <w:t xml:space="preserve">zugleich für den</w:t>
      </w:r>
    </w:p>
    <w:p>
      <w:r>
        <w:t xml:space="preserve">Innenminister</w:t>
      </w:r>
    </w:p>
    <w:p>
      <w:r>
        <w:rPr>
          <w:color w:val="555555"/>
          <w:sz w:val="17"/>
        </w:rPr>
        <w:t xml:space="preserve">Zitiervorschlag: § 8 AltPflG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