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AltPflG NRW (Nordrhein-Westfalen) — Aufhebung bisheriger Regelungen, Übergangsbestimmungen, Rückkehr zum einheitlichen Verordnungsrang</w:t>
      </w:r>
    </w:p>
    <w:p>
      <w:r>
        <w:rPr>
          <w:color w:val="555555"/>
          <w:sz w:val="18"/>
        </w:rPr>
        <w:t xml:space="preserve">Landesaltenpflegegesetz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werden aufgehoben:</w:t>
      </w:r>
    </w:p>
    <w:p>
      <w:r>
        <w:t xml:space="preserve">1. Das Gesetz über die Berufe in der Altenpflege (Altenpflegegesetz – AltPflG) vom 19. Juni 1994 (GV. NRW. S. 335), geändert durch Gesetz vom 5. März 1997 (GV. NRW. S. 28),</w:t>
      </w:r>
    </w:p>
    <w:p>
      <w:r>
        <w:t xml:space="preserve">2. die Verordnung für die Ausbildungen und Prüfung in der Altenpflege (APO – Altenpflege) vom 28. September 1994 (GV. NRW. S. 836),</w:t>
      </w:r>
    </w:p>
    <w:p>
      <w:r>
        <w:t xml:space="preserve">3. die Verordnung über die Erhebung einer Umlage nach dem Altenpflegegesetz (Umlageverordnung – Umlage VO) vom 28. September 1994 (GV. NRW. S. 843), zuletzt geändert durch Verordnung vom 30. November 2005 (GV. NRW. S. 947) und</w:t>
      </w:r>
    </w:p>
    <w:p>
      <w:r>
        <w:t xml:space="preserve">4. § 2 Abs. 2 der Verordnung zur Regelung der Zuständigkeiten nach Rechtsvorschriften für nichtärztliche und nichttierärztliche Heilberufe vom 31. Januar 1995 (GV. NRW. S. 87), zuletzt geändert durch Gesetz vom 18. November 2003 (GV. NRW. S. 693).</w:t>
      </w:r>
    </w:p>
    <w:p>
      <w:r>
        <w:t xml:space="preserve">(2) Für Ausbildungsverhältnisse, die vor dem 1. August 2003 nach diesen Vorschriften begonnen haben, sind die Regelungen nach Absatz 1 Nrn. 1 bis 3 bis zum Abschluss der Ausbildungsverhältnisse weiter anzuwenden.</w:t>
      </w:r>
    </w:p>
    <w:p>
      <w:r>
        <w:t xml:space="preserve">(3) Die durch Absatz 1 aufgehobenen Verordnungen können aufgrund der jeweils einschlägigen Ermächtigungsgrundlagen durch eine Verordnung geändert werden.</w:t>
      </w:r>
    </w:p>
    <w:p>
      <w:r>
        <w:rPr>
          <w:color w:val="555555"/>
          <w:sz w:val="17"/>
        </w:rPr>
        <w:t xml:space="preserve">Zitiervorschlag: § 7 AltPflG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