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AltPflG NRW (Nordrhein-Westfalen) — Ausbildung zur Altenpflegefachkraft</w:t>
      </w:r>
    </w:p>
    <w:p>
      <w:r>
        <w:rPr>
          <w:color w:val="555555"/>
          <w:sz w:val="18"/>
        </w:rPr>
        <w:t xml:space="preserve">Landesaltenpflegegesetz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für die Altenpflegeausbildung zuständige Ministerium kann die Durchführung der theoretischen Ausbildung durch Richtlinie für die Fachseminare verbindlich regeln; in einem Rahmenlehrplan können verbindliche Vorgaben für die praktische Ausbildung gegeben werden.</w:t>
      </w:r>
    </w:p>
    <w:p>
      <w:r>
        <w:t xml:space="preserve">(2) Im Rahmen der Ausbildung soll auf soziokulturelle Unterschiede eingegangen werden.</w:t>
      </w:r>
    </w:p>
    <w:p>
      <w:r>
        <w:rPr>
          <w:color w:val="555555"/>
          <w:sz w:val="17"/>
        </w:rPr>
        <w:t xml:space="preserve">Zitiervorschlag: § 2 AltPflG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https://recht.nulegal.eu/gesetze/AltPflG%20NRW/2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