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AltPflAusglVO (Sachsen)</w:t>
      </w:r>
    </w:p>
    <w:p>
      <w:r>
        <w:rPr>
          <w:color w:val="555555"/>
          <w:sz w:val="18"/>
        </w:rPr>
        <w:t xml:space="preserve">Altenpflege-Ausgleichsverordnung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25 Abs. 1 Satz 1 und § 25 Abs. 2 Satz 2 und 3 des Gesetzes über die Berufe in der Altenpflege ( Altenpflegegesetz – AltPflG) vom 17. November 2000 (BGBl. I S. 1513), das durch Artikel 3 des Gesetzes vom 17. November 2000 (BGBl. I S. 1513, 1518) geändert worden ist, wird verordnet:</w:t>
      </w:r>
    </w:p>
    <w:p>
      <w:r>
        <w:rPr>
          <w:color w:val="555555"/>
          <w:sz w:val="17"/>
        </w:rPr>
        <w:t xml:space="preserve">Zitiervorschlag: Eingangsformel AltPflAusglVO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https://recht.nulegal.eu/gesetze/AltPflAusglVO/eingangsformel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